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3A56D" w14:textId="689C38AA" w:rsidR="000759D8" w:rsidRDefault="0007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"/>
        <w:rPr>
          <w:color w:val="000000"/>
        </w:rPr>
      </w:pPr>
    </w:p>
    <w:p w14:paraId="27BE3DBC" w14:textId="2911C63A" w:rsidR="000759D8" w:rsidRDefault="007C1B09" w:rsidP="00511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202</w:t>
      </w:r>
      <w:r w:rsidR="00DC0EFD">
        <w:rPr>
          <w:b/>
          <w:sz w:val="25"/>
          <w:szCs w:val="25"/>
        </w:rPr>
        <w:t>5</w:t>
      </w:r>
      <w:r>
        <w:rPr>
          <w:b/>
          <w:color w:val="000000"/>
          <w:sz w:val="25"/>
          <w:szCs w:val="25"/>
        </w:rPr>
        <w:t xml:space="preserve"> </w:t>
      </w:r>
      <w:r w:rsidR="00511AC2">
        <w:rPr>
          <w:b/>
          <w:color w:val="000000"/>
          <w:sz w:val="25"/>
          <w:szCs w:val="25"/>
        </w:rPr>
        <w:t xml:space="preserve">MONASH </w:t>
      </w:r>
      <w:r>
        <w:rPr>
          <w:b/>
          <w:color w:val="000000"/>
          <w:sz w:val="25"/>
          <w:szCs w:val="25"/>
        </w:rPr>
        <w:t>CHEMISTRY HONOURS APPLICATION FORM</w:t>
      </w:r>
    </w:p>
    <w:p w14:paraId="205EEB6E" w14:textId="77777777" w:rsidR="00511AC2" w:rsidRDefault="00511AC2" w:rsidP="00511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color w:val="000000"/>
          <w:sz w:val="25"/>
          <w:szCs w:val="25"/>
        </w:rPr>
      </w:pPr>
    </w:p>
    <w:tbl>
      <w:tblPr>
        <w:tblStyle w:val="a"/>
        <w:tblW w:w="9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1"/>
      </w:tblGrid>
      <w:tr w:rsidR="000759D8" w14:paraId="392A7010" w14:textId="77777777">
        <w:trPr>
          <w:trHeight w:val="931"/>
        </w:trPr>
        <w:tc>
          <w:tcPr>
            <w:tcW w:w="9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92A6" w14:textId="77777777" w:rsidR="00511AC2" w:rsidRDefault="007C1B09" w:rsidP="00511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Please complete and return this sheet together with the Faculty of Science Honours Application Form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to Associate Professor </w:t>
            </w:r>
            <w:r w:rsidR="00511A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David Turner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School of Chemistry, Monash University, Clayton, Vic. 3800</w:t>
            </w:r>
            <w:r w:rsidR="00511A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14:paraId="485327CB" w14:textId="24878284" w:rsidR="000759D8" w:rsidRDefault="007C1B09" w:rsidP="00511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Closing date: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Friday </w:t>
            </w:r>
            <w:r w:rsidR="00511AC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th </w:t>
            </w:r>
            <w:r w:rsidR="00511AC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June</w:t>
            </w:r>
            <w:r w:rsidR="006760F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202</w:t>
            </w:r>
            <w:r w:rsidR="00511AC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 for mid-year 2025/6 intake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Please note that late applications may be accepted in consultation with the Chemistry Honours Coordinator. </w:t>
            </w:r>
          </w:p>
        </w:tc>
      </w:tr>
    </w:tbl>
    <w:p w14:paraId="2C19DD12" w14:textId="77777777" w:rsidR="000759D8" w:rsidRDefault="00075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42CB69" w14:textId="16852D26" w:rsidR="000759D8" w:rsidRDefault="007C1B09" w:rsidP="00511A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Details of research projects in the School of Chemistry are available in the booklet 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Chemistry Honours Projects </w:t>
      </w:r>
      <w:r w:rsidR="00511AC2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Booklet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which </w:t>
      </w:r>
      <w:r w:rsidR="00511AC2">
        <w:rPr>
          <w:rFonts w:ascii="Times New Roman" w:eastAsia="Times New Roman" w:hAnsi="Times New Roman" w:cs="Times New Roman"/>
          <w:color w:val="000000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available on our website.  </w:t>
      </w:r>
      <w:bookmarkStart w:id="0" w:name="_GoBack"/>
      <w:bookmarkEnd w:id="0"/>
    </w:p>
    <w:p w14:paraId="01BB1AEA" w14:textId="77777777" w:rsidR="00305E8E" w:rsidRDefault="007C1B09" w:rsidP="00511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18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You should discuss prospective projects with at least four </w:t>
      </w:r>
      <w:r w:rsidR="00305E8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potential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supervisors before nominating at least three </w:t>
      </w:r>
      <w:r w:rsidRPr="00305E8E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ifferent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supervisors and projects, in order of preference, for consideration by the Coordinator. </w:t>
      </w:r>
      <w:r w:rsidR="00305E8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Note that the choice of supervisor is most important – once assigned to a supervisor, then you can discuss which project you wish to do.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Please con</w:t>
      </w:r>
      <w:r w:rsidR="00305E8E">
        <w:rPr>
          <w:rFonts w:ascii="Times New Roman" w:eastAsia="Times New Roman" w:hAnsi="Times New Roman" w:cs="Times New Roman"/>
          <w:color w:val="000000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the Honours Coordinator if you require advice on potential supervisors</w:t>
      </w:r>
      <w:r w:rsidR="00305E8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or have any other questions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Please note that a number of criteria will be used in the final assignment of the supervisor; depending on circumstances, it may not be possible to grant you your first or even second preference. </w:t>
      </w:r>
    </w:p>
    <w:p w14:paraId="58826D1C" w14:textId="3410C0A4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19" w:lineRule="auto"/>
        <w:ind w:left="48" w:right="172" w:hanging="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tbl>
      <w:tblPr>
        <w:tblStyle w:val="a0"/>
        <w:tblW w:w="9883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7"/>
        <w:gridCol w:w="6746"/>
        <w:gridCol w:w="220"/>
      </w:tblGrid>
      <w:tr w:rsidR="000759D8" w14:paraId="53150FB4" w14:textId="77777777" w:rsidTr="00255685">
        <w:trPr>
          <w:trHeight w:val="1185"/>
        </w:trPr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AFA7" w14:textId="646CBD30" w:rsidR="000759D8" w:rsidRDefault="007C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" w:right="-7" w:firstLine="2"/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PREFERRED SUPERVISORS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 xml:space="preserve">(Both supervisors' names must be listed for any joint projects) </w:t>
            </w:r>
          </w:p>
        </w:tc>
        <w:tc>
          <w:tcPr>
            <w:tcW w:w="69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6366" w14:textId="77777777" w:rsidR="000759D8" w:rsidRDefault="007C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PREFERRED PROJECTS IN ORDER OF PREFERENCE </w:t>
            </w:r>
          </w:p>
        </w:tc>
      </w:tr>
      <w:tr w:rsidR="00255685" w14:paraId="4506097F" w14:textId="77777777" w:rsidTr="00255685">
        <w:trPr>
          <w:trHeight w:val="710"/>
        </w:trPr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4973" w14:textId="763809E4" w:rsidR="00255685" w:rsidRDefault="00255685" w:rsidP="0025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</w:p>
        </w:tc>
        <w:tc>
          <w:tcPr>
            <w:tcW w:w="69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B18B" w14:textId="5047C413" w:rsidR="00255685" w:rsidRPr="00305E8E" w:rsidRDefault="00255685" w:rsidP="00305E8E">
            <w:pPr>
              <w:spacing w:line="240" w:lineRule="auto"/>
              <w:rPr>
                <w:rFonts w:asciiTheme="majorHAnsi" w:eastAsia="Times New Roman" w:hAnsiTheme="majorHAnsi" w:cstheme="majorHAnsi"/>
                <w:color w:val="888888"/>
                <w:sz w:val="24"/>
                <w:szCs w:val="24"/>
              </w:rPr>
            </w:pPr>
          </w:p>
        </w:tc>
      </w:tr>
      <w:tr w:rsidR="00255685" w14:paraId="7ADF8A99" w14:textId="77777777" w:rsidTr="00255685">
        <w:trPr>
          <w:trHeight w:val="713"/>
        </w:trPr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2B79" w14:textId="6CAC3D2B" w:rsidR="00255685" w:rsidRPr="00197F43" w:rsidRDefault="00255685" w:rsidP="0025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</w:t>
            </w:r>
          </w:p>
        </w:tc>
        <w:tc>
          <w:tcPr>
            <w:tcW w:w="69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8EBC" w14:textId="628CEE5A" w:rsidR="00255685" w:rsidRPr="005529B5" w:rsidRDefault="00255685" w:rsidP="0025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30A7C" w14:paraId="3F9E50E9" w14:textId="77777777" w:rsidTr="00255685">
        <w:trPr>
          <w:trHeight w:val="715"/>
        </w:trPr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1AA6" w14:textId="3E219E5E" w:rsidR="00330A7C" w:rsidRDefault="00330A7C" w:rsidP="00330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</w:t>
            </w:r>
            <w:r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9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30F0" w14:textId="2AC5431B" w:rsidR="00330A7C" w:rsidRDefault="00330A7C" w:rsidP="00330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255685" w14:paraId="6910B4A6" w14:textId="77777777" w:rsidTr="00255685">
        <w:trPr>
          <w:trHeight w:val="2743"/>
        </w:trPr>
        <w:tc>
          <w:tcPr>
            <w:tcW w:w="96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DFCC" w14:textId="06040CD3" w:rsidR="00255685" w:rsidRDefault="00255685" w:rsidP="0025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45" w:right="332" w:hanging="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Please provide PERSONAL CONTACT DETAILS below so that we may contact you when supervisors and projects have been assigned.  </w:t>
            </w:r>
          </w:p>
          <w:p w14:paraId="1B9DFF2F" w14:textId="7D20C8D9" w:rsidR="00255685" w:rsidRDefault="00255685" w:rsidP="0030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51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NAME: </w:t>
            </w:r>
          </w:p>
          <w:p w14:paraId="18A07731" w14:textId="6DC62577" w:rsidR="00255685" w:rsidRDefault="00255685" w:rsidP="0030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51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Address:  </w:t>
            </w:r>
          </w:p>
          <w:p w14:paraId="07593108" w14:textId="65983127" w:rsidR="00255685" w:rsidRDefault="00255685" w:rsidP="0030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51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Mobile:  </w:t>
            </w:r>
          </w:p>
          <w:p w14:paraId="5F0963B9" w14:textId="1AA286CD" w:rsidR="00255685" w:rsidRDefault="00255685" w:rsidP="00305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51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Email: </w:t>
            </w: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90A5" w14:textId="77777777" w:rsidR="00255685" w:rsidRDefault="00255685" w:rsidP="00255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40EF32AD" w14:textId="77777777" w:rsidR="000759D8" w:rsidRDefault="00075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77DFAE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54" w:right="373" w:firstLine="9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The information on this form is collected for the primary purpose of enabling the School to notify you outside </w:t>
      </w:r>
      <w:proofErr w:type="gramStart"/>
      <w:r>
        <w:rPr>
          <w:i/>
          <w:color w:val="000000"/>
          <w:sz w:val="18"/>
          <w:szCs w:val="18"/>
        </w:rPr>
        <w:t>of  semester</w:t>
      </w:r>
      <w:proofErr w:type="gramEnd"/>
      <w:r>
        <w:rPr>
          <w:i/>
          <w:color w:val="000000"/>
          <w:sz w:val="18"/>
          <w:szCs w:val="18"/>
        </w:rPr>
        <w:t xml:space="preserve"> of your Honours project allocation and supervision arrangements. You have a right to access </w:t>
      </w:r>
      <w:proofErr w:type="gramStart"/>
      <w:r>
        <w:rPr>
          <w:i/>
          <w:color w:val="000000"/>
          <w:sz w:val="18"/>
          <w:szCs w:val="18"/>
        </w:rPr>
        <w:t>personal  information</w:t>
      </w:r>
      <w:proofErr w:type="gramEnd"/>
      <w:r>
        <w:rPr>
          <w:i/>
          <w:color w:val="000000"/>
          <w:sz w:val="18"/>
          <w:szCs w:val="18"/>
        </w:rPr>
        <w:t xml:space="preserve"> that Monash University holds about you, subject to any expectations in legislation. If you wish to </w:t>
      </w:r>
      <w:proofErr w:type="gramStart"/>
      <w:r>
        <w:rPr>
          <w:i/>
          <w:color w:val="000000"/>
          <w:sz w:val="18"/>
          <w:szCs w:val="18"/>
        </w:rPr>
        <w:t>seek  access</w:t>
      </w:r>
      <w:proofErr w:type="gramEnd"/>
      <w:r>
        <w:rPr>
          <w:i/>
          <w:color w:val="000000"/>
          <w:sz w:val="18"/>
          <w:szCs w:val="18"/>
        </w:rPr>
        <w:t xml:space="preserve"> to your personal information to inquire about the handling of your personal information, please contact the  University Privacy Officer on 9902 9589  </w:t>
      </w:r>
    </w:p>
    <w:p w14:paraId="18CCDEF8" w14:textId="77777777" w:rsidR="000759D8" w:rsidRDefault="000759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41"/>
        <w:rPr>
          <w:rFonts w:ascii="Times New Roman" w:eastAsia="Times New Roman" w:hAnsi="Times New Roman" w:cs="Times New Roman"/>
        </w:rPr>
      </w:pPr>
    </w:p>
    <w:p w14:paraId="069291E2" w14:textId="48E0D46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obtain the signatures of at </w:t>
      </w:r>
      <w:r w:rsidR="00DC0EFD">
        <w:rPr>
          <w:rFonts w:ascii="Times New Roman" w:eastAsia="Times New Roman" w:hAnsi="Times New Roman" w:cs="Times New Roman"/>
          <w:color w:val="000000"/>
        </w:rPr>
        <w:t>THREE or</w:t>
      </w:r>
      <w:r>
        <w:rPr>
          <w:rFonts w:ascii="Times New Roman" w:eastAsia="Times New Roman" w:hAnsi="Times New Roman" w:cs="Times New Roman"/>
          <w:color w:val="000000"/>
        </w:rPr>
        <w:t xml:space="preserve"> FOUR academic staff you have talked to about honours projects</w:t>
      </w:r>
    </w:p>
    <w:p w14:paraId="3FF35103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A5A6302" w14:textId="33A0C55C" w:rsidR="00C3107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30" w:lineRule="auto"/>
        <w:ind w:left="47" w:right="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Supervisor 1 .......</w:t>
      </w:r>
      <w:r w:rsidR="00DC0EFD" w:rsidRPr="00DC0EFD">
        <w:rPr>
          <w:rFonts w:ascii="Times New Roman" w:eastAsia="Times New Roman" w:hAnsi="Times New Roman" w:cs="Times New Roman"/>
          <w:color w:val="000000"/>
        </w:rPr>
        <w:t xml:space="preserve"> </w:t>
      </w:r>
      <w:r w:rsidR="00DC0EFD">
        <w:rPr>
          <w:rFonts w:ascii="Times New Roman" w:eastAsia="Times New Roman" w:hAnsi="Times New Roman" w:cs="Times New Roman"/>
          <w:color w:val="000000"/>
        </w:rPr>
        <w:t>..........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16B63">
        <w:rPr>
          <w:rFonts w:ascii="Times New Roman" w:eastAsia="Times New Roman" w:hAnsi="Times New Roman" w:cs="Times New Roman"/>
          <w:color w:val="000000"/>
        </w:rPr>
        <w:t xml:space="preserve"> </w:t>
      </w:r>
      <w:r w:rsidR="00DC0EFD">
        <w:rPr>
          <w:rFonts w:ascii="Times New Roman" w:eastAsia="Times New Roman" w:hAnsi="Times New Roman" w:cs="Times New Roman"/>
          <w:color w:val="000000"/>
        </w:rPr>
        <w:t xml:space="preserve"> </w:t>
      </w:r>
      <w:r w:rsidR="00B16B63">
        <w:rPr>
          <w:rFonts w:ascii="Times New Roman" w:eastAsia="Times New Roman" w:hAnsi="Times New Roman" w:cs="Times New Roman"/>
          <w:color w:val="00000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</w:rPr>
        <w:t>Supervisor 2 ....</w:t>
      </w:r>
      <w:r w:rsidR="00B63410" w:rsidRPr="00B63410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 </w:t>
      </w:r>
    </w:p>
    <w:p w14:paraId="7477A59F" w14:textId="77824EBF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30" w:lineRule="auto"/>
        <w:ind w:left="47" w:right="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Supervisor 3 ........</w:t>
      </w:r>
      <w:r w:rsidR="00B16B63" w:rsidRPr="00B16B63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.......... </w:t>
      </w:r>
      <w:r w:rsidR="00DC0EFD">
        <w:rPr>
          <w:rFonts w:ascii="Times New Roman" w:eastAsia="Times New Roman" w:hAnsi="Times New Roman" w:cs="Times New Roman"/>
          <w:color w:val="00000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</w:rPr>
        <w:t>Supervisor 4 ................</w:t>
      </w:r>
      <w:r w:rsidR="000B2234" w:rsidRPr="000B223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 </w:t>
      </w:r>
    </w:p>
    <w:p w14:paraId="02AF4BB6" w14:textId="77777777" w:rsidR="00305E8E" w:rsidRDefault="00305E8E">
      <w:pPr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br w:type="page"/>
      </w:r>
    </w:p>
    <w:p w14:paraId="2D19B42E" w14:textId="6C39DBB9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2" w:line="240" w:lineRule="auto"/>
        <w:ind w:left="1715"/>
        <w:rPr>
          <w:b/>
          <w:color w:val="000000"/>
        </w:rPr>
      </w:pPr>
      <w:r>
        <w:rPr>
          <w:b/>
          <w:color w:val="000000"/>
          <w:sz w:val="25"/>
          <w:szCs w:val="25"/>
        </w:rPr>
        <w:lastRenderedPageBreak/>
        <w:t>HONOURS IN CHEMISTRY (CHM 4100 &amp; CHM 4201</w:t>
      </w:r>
      <w:r>
        <w:rPr>
          <w:b/>
          <w:color w:val="000000"/>
        </w:rPr>
        <w:t xml:space="preserve">)  </w:t>
      </w:r>
    </w:p>
    <w:p w14:paraId="4E222672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48 CREDIT POINTS, FULL YEAR*  </w:t>
      </w:r>
    </w:p>
    <w:p w14:paraId="0F29C62C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43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Coordinator:  </w:t>
      </w:r>
    </w:p>
    <w:p w14:paraId="50A448E5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1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Assoc. Prof. Michael Grace  </w:t>
      </w:r>
    </w:p>
    <w:p w14:paraId="498D5AE6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Tel: (+61 3) 9905 4078  </w:t>
      </w:r>
    </w:p>
    <w:p w14:paraId="4EE4FE00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Email: Michael.Grace@monash.edu  </w:t>
      </w:r>
    </w:p>
    <w:p w14:paraId="41F114AD" w14:textId="5FECE670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36" w:lineRule="auto"/>
        <w:ind w:left="50" w:right="172" w:firstLine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*It is possible to commence an honours program in Semester 2 of one year and complete it in Semester 1 of the following year. Please discuss this with the coordinator ASAP. </w:t>
      </w:r>
    </w:p>
    <w:p w14:paraId="58B3000C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lef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Lecture courses are currently being finalised. Probable courses are listed below.  </w:t>
      </w:r>
    </w:p>
    <w:p w14:paraId="6615A5F9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6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Compulsory units  </w:t>
      </w:r>
    </w:p>
    <w:p w14:paraId="678D2496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7" w:lineRule="auto"/>
        <w:ind w:left="62" w:right="1294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Professional Skills – Intellectual Property, Project Management and Industry Skills (week 1). </w:t>
      </w: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Instrumental Methods A&amp;B – Various </w:t>
      </w:r>
    </w:p>
    <w:p w14:paraId="2CC1743F" w14:textId="1BAB5130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7" w:lineRule="auto"/>
        <w:ind w:left="62" w:right="1179" w:hanging="2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Elective units (choose 4): </w:t>
      </w:r>
      <w:r>
        <w:rPr>
          <w:rFonts w:ascii="Times New Roman" w:eastAsia="Times New Roman" w:hAnsi="Times New Roman" w:cs="Times New Roman"/>
          <w:b/>
          <w:i/>
          <w:color w:val="000000"/>
        </w:rPr>
        <w:t>These modules are provisional now and will be confirmed early 20</w:t>
      </w:r>
      <w:r>
        <w:rPr>
          <w:rFonts w:ascii="Times New Roman" w:eastAsia="Times New Roman" w:hAnsi="Times New Roman" w:cs="Times New Roman"/>
          <w:b/>
          <w:i/>
        </w:rPr>
        <w:t>2</w:t>
      </w:r>
      <w:r w:rsidR="00DC0EFD">
        <w:rPr>
          <w:rFonts w:ascii="Times New Roman" w:eastAsia="Times New Roman" w:hAnsi="Times New Roman" w:cs="Times New Roman"/>
          <w:b/>
          <w:i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</w:t>
      </w:r>
    </w:p>
    <w:p w14:paraId="149561FE" w14:textId="3F6F93F3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7" w:lineRule="auto"/>
        <w:ind w:left="62" w:right="1179" w:hanging="22"/>
        <w:rPr>
          <w:rFonts w:ascii="Times New Roman" w:eastAsia="Times New Roman" w:hAnsi="Times New Roman" w:cs="Times New Roman"/>
        </w:rPr>
      </w:pPr>
      <w:r>
        <w:t>•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Metallosupramolecular Chemistry</w:t>
      </w:r>
      <w:r>
        <w:rPr>
          <w:rFonts w:ascii="Times New Roman" w:eastAsia="Times New Roman" w:hAnsi="Times New Roman" w:cs="Times New Roman"/>
        </w:rPr>
        <w:t xml:space="preserve"> –Prof Stuart Batten and </w:t>
      </w:r>
      <w:r w:rsidR="00DC0EFD">
        <w:rPr>
          <w:rFonts w:ascii="Times New Roman" w:eastAsia="Times New Roman" w:hAnsi="Times New Roman" w:cs="Times New Roman"/>
        </w:rPr>
        <w:t>A/Prof</w:t>
      </w:r>
      <w:r>
        <w:rPr>
          <w:rFonts w:ascii="Times New Roman" w:eastAsia="Times New Roman" w:hAnsi="Times New Roman" w:cs="Times New Roman"/>
        </w:rPr>
        <w:t xml:space="preserve"> David Turner </w:t>
      </w:r>
    </w:p>
    <w:p w14:paraId="41DCFD3A" w14:textId="66F28C81" w:rsidR="000759D8" w:rsidRDefault="007C1B09">
      <w:pPr>
        <w:widowControl w:val="0"/>
        <w:shd w:val="clear" w:color="auto" w:fill="FFFFFF"/>
        <w:ind w:left="60" w:right="520"/>
        <w:rPr>
          <w:rFonts w:ascii="Times New Roman" w:eastAsia="Times New Roman" w:hAnsi="Times New Roman" w:cs="Times New Roman"/>
        </w:rPr>
      </w:pPr>
      <w:r>
        <w:t>•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Self Assembly and Synchrotron Science</w:t>
      </w:r>
      <w:r>
        <w:rPr>
          <w:rFonts w:ascii="Times New Roman" w:eastAsia="Times New Roman" w:hAnsi="Times New Roman" w:cs="Times New Roman"/>
        </w:rPr>
        <w:t xml:space="preserve"> – Prof Don McNaughton &amp; </w:t>
      </w:r>
      <w:r w:rsidR="00DC0EFD">
        <w:rPr>
          <w:rFonts w:ascii="Times New Roman" w:eastAsia="Times New Roman" w:hAnsi="Times New Roman" w:cs="Times New Roman"/>
        </w:rPr>
        <w:t>Prof</w:t>
      </w:r>
      <w:r>
        <w:rPr>
          <w:rFonts w:ascii="Times New Roman" w:eastAsia="Times New Roman" w:hAnsi="Times New Roman" w:cs="Times New Roman"/>
        </w:rPr>
        <w:t xml:space="preserve"> Rico Tabor</w:t>
      </w:r>
    </w:p>
    <w:p w14:paraId="55EB7D80" w14:textId="56C1C372" w:rsidR="000759D8" w:rsidRDefault="007C1B09">
      <w:pPr>
        <w:widowControl w:val="0"/>
        <w:shd w:val="clear" w:color="auto" w:fill="FFFFFF"/>
        <w:ind w:left="60" w:right="520"/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>Advanced optical spectroscopy and microscopy at the nanoscale</w:t>
      </w:r>
      <w:r>
        <w:rPr>
          <w:rFonts w:ascii="Times New Roman" w:eastAsia="Times New Roman" w:hAnsi="Times New Roman" w:cs="Times New Roman"/>
        </w:rPr>
        <w:t xml:space="preserve"> – </w:t>
      </w:r>
      <w:r w:rsidR="00DC0EFD">
        <w:rPr>
          <w:rFonts w:ascii="Times New Roman" w:eastAsia="Times New Roman" w:hAnsi="Times New Roman" w:cs="Times New Roman"/>
        </w:rPr>
        <w:t>A/Prof</w:t>
      </w:r>
      <w:r>
        <w:rPr>
          <w:rFonts w:ascii="Times New Roman" w:eastAsia="Times New Roman" w:hAnsi="Times New Roman" w:cs="Times New Roman"/>
        </w:rPr>
        <w:t xml:space="preserve"> Toby Bell &amp; </w:t>
      </w:r>
      <w:r w:rsidR="00DC0EFD">
        <w:rPr>
          <w:rFonts w:ascii="Times New Roman" w:eastAsia="Times New Roman" w:hAnsi="Times New Roman" w:cs="Times New Roman"/>
        </w:rPr>
        <w:t>A/Prof</w:t>
      </w:r>
      <w:r>
        <w:rPr>
          <w:rFonts w:ascii="Times New Roman" w:eastAsia="Times New Roman" w:hAnsi="Times New Roman" w:cs="Times New Roman"/>
        </w:rPr>
        <w:t xml:space="preserve"> Alison Funston</w:t>
      </w:r>
    </w:p>
    <w:p w14:paraId="463A72C3" w14:textId="77777777" w:rsidR="000759D8" w:rsidRDefault="007C1B09">
      <w:pPr>
        <w:widowControl w:val="0"/>
        <w:shd w:val="clear" w:color="auto" w:fill="FFFFFF"/>
        <w:ind w:left="60" w:right="520"/>
        <w:rPr>
          <w:rFonts w:ascii="Times New Roman" w:eastAsia="Times New Roman" w:hAnsi="Times New Roman" w:cs="Times New Roman"/>
        </w:rPr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>Rare Earth Chemistry</w:t>
      </w:r>
      <w:r>
        <w:rPr>
          <w:rFonts w:ascii="Times New Roman" w:eastAsia="Times New Roman" w:hAnsi="Times New Roman" w:cs="Times New Roman"/>
        </w:rPr>
        <w:t xml:space="preserve"> – Prof Glen Deacon </w:t>
      </w:r>
    </w:p>
    <w:p w14:paraId="4B5185D2" w14:textId="77777777" w:rsidR="000759D8" w:rsidRDefault="007C1B09">
      <w:pPr>
        <w:widowControl w:val="0"/>
        <w:shd w:val="clear" w:color="auto" w:fill="FFFFFF"/>
        <w:ind w:left="60"/>
        <w:rPr>
          <w:rFonts w:ascii="Times New Roman" w:eastAsia="Times New Roman" w:hAnsi="Times New Roman" w:cs="Times New Roman"/>
        </w:rPr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>Main Group Chemistry</w:t>
      </w:r>
      <w:r>
        <w:rPr>
          <w:rFonts w:ascii="Times New Roman" w:eastAsia="Times New Roman" w:hAnsi="Times New Roman" w:cs="Times New Roman"/>
        </w:rPr>
        <w:t xml:space="preserve"> – Prof Cameron Jones </w:t>
      </w:r>
    </w:p>
    <w:p w14:paraId="1187A11C" w14:textId="368B9F21" w:rsidR="000759D8" w:rsidRDefault="007C1B09">
      <w:pPr>
        <w:widowControl w:val="0"/>
        <w:shd w:val="clear" w:color="auto" w:fill="FFFFFF"/>
        <w:spacing w:before="20"/>
        <w:ind w:left="60"/>
        <w:rPr>
          <w:rFonts w:ascii="Times New Roman" w:eastAsia="Times New Roman" w:hAnsi="Times New Roman" w:cs="Times New Roman"/>
        </w:rPr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>Advanced Organic Synthesis</w:t>
      </w:r>
      <w:r>
        <w:rPr>
          <w:rFonts w:ascii="Times New Roman" w:eastAsia="Times New Roman" w:hAnsi="Times New Roman" w:cs="Times New Roman"/>
        </w:rPr>
        <w:t xml:space="preserve"> –Prof David Lupton </w:t>
      </w:r>
    </w:p>
    <w:p w14:paraId="75F4D3BC" w14:textId="77777777" w:rsidR="000759D8" w:rsidRDefault="007C1B09">
      <w:pPr>
        <w:widowControl w:val="0"/>
        <w:shd w:val="clear" w:color="auto" w:fill="FFFFFF"/>
        <w:spacing w:before="20"/>
        <w:ind w:left="60" w:right="2080"/>
        <w:rPr>
          <w:rFonts w:ascii="Times New Roman" w:eastAsia="Times New Roman" w:hAnsi="Times New Roman" w:cs="Times New Roman"/>
        </w:rPr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 xml:space="preserve">Polymer Chemistry </w:t>
      </w:r>
      <w:r>
        <w:rPr>
          <w:rFonts w:ascii="Times New Roman" w:eastAsia="Times New Roman" w:hAnsi="Times New Roman" w:cs="Times New Roman"/>
        </w:rPr>
        <w:t xml:space="preserve">– Prof Tanja Junkers &amp; Prof San Thang </w:t>
      </w:r>
    </w:p>
    <w:p w14:paraId="4C6BBDC5" w14:textId="77777777" w:rsidR="000759D8" w:rsidRDefault="007C1B09">
      <w:pPr>
        <w:widowControl w:val="0"/>
        <w:shd w:val="clear" w:color="auto" w:fill="FFFFFF"/>
        <w:ind w:left="60"/>
        <w:rPr>
          <w:rFonts w:ascii="Times New Roman" w:eastAsia="Times New Roman" w:hAnsi="Times New Roman" w:cs="Times New Roman"/>
        </w:rPr>
      </w:pPr>
      <w:r>
        <w:t xml:space="preserve">• </w:t>
      </w:r>
      <w:r>
        <w:rPr>
          <w:rFonts w:ascii="Times New Roman" w:eastAsia="Times New Roman" w:hAnsi="Times New Roman" w:cs="Times New Roman"/>
          <w:b/>
        </w:rPr>
        <w:t>Green Chemistry</w:t>
      </w:r>
      <w:r>
        <w:rPr>
          <w:rFonts w:ascii="Times New Roman" w:eastAsia="Times New Roman" w:hAnsi="Times New Roman" w:cs="Times New Roman"/>
        </w:rPr>
        <w:t xml:space="preserve"> – Prof Tony Patti  </w:t>
      </w:r>
    </w:p>
    <w:p w14:paraId="5C5C0CC0" w14:textId="675BC553" w:rsidR="000759D8" w:rsidRDefault="000759D8">
      <w:pPr>
        <w:widowControl w:val="0"/>
        <w:shd w:val="clear" w:color="auto" w:fill="FFFFFF"/>
        <w:spacing w:before="20"/>
        <w:ind w:left="60"/>
      </w:pPr>
    </w:p>
    <w:p w14:paraId="526207F4" w14:textId="1ACD96C0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36" w:lineRule="auto"/>
        <w:ind w:left="53" w:right="168" w:hanging="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Admission requirements: </w:t>
      </w:r>
      <w:r>
        <w:rPr>
          <w:rFonts w:ascii="Times New Roman" w:eastAsia="Times New Roman" w:hAnsi="Times New Roman" w:cs="Times New Roman"/>
          <w:color w:val="000000"/>
        </w:rPr>
        <w:t>A minimum of 18 points of third-year Chemistry plus 6 points further points of</w:t>
      </w:r>
      <w:r w:rsidR="00DC0EF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chemistry or other relevant units at an average of distinction grade for these 24 points.  </w:t>
      </w:r>
    </w:p>
    <w:p w14:paraId="15D7EC31" w14:textId="562DE66B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36" w:lineRule="auto"/>
        <w:ind w:left="49" w:right="16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Seminars and colloquia: </w:t>
      </w:r>
      <w:r>
        <w:rPr>
          <w:rFonts w:ascii="Times New Roman" w:eastAsia="Times New Roman" w:hAnsi="Times New Roman" w:cs="Times New Roman"/>
          <w:color w:val="000000"/>
        </w:rPr>
        <w:t>All students present two seminars during the year and are expected to attend School</w:t>
      </w:r>
      <w:r w:rsidR="00DC0EF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research seminars (Monday and Friday, 1.00 pm).  </w:t>
      </w:r>
    </w:p>
    <w:p w14:paraId="178CD165" w14:textId="77777777" w:rsidR="000759D8" w:rsidRDefault="000759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35" w:lineRule="auto"/>
        <w:ind w:left="50" w:right="165" w:hanging="27"/>
        <w:jc w:val="both"/>
        <w:rPr>
          <w:rFonts w:ascii="Times New Roman" w:eastAsia="Times New Roman" w:hAnsi="Times New Roman" w:cs="Times New Roman"/>
          <w:b/>
          <w:i/>
        </w:rPr>
      </w:pPr>
    </w:p>
    <w:p w14:paraId="1049CF02" w14:textId="2B43B7BF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35" w:lineRule="auto"/>
        <w:ind w:left="50" w:right="165" w:hanging="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Assessment: </w:t>
      </w:r>
      <w:r>
        <w:rPr>
          <w:rFonts w:ascii="Times New Roman" w:eastAsia="Times New Roman" w:hAnsi="Times New Roman" w:cs="Times New Roman"/>
          <w:color w:val="000000"/>
        </w:rPr>
        <w:t xml:space="preserve">Lecture units are assessed by examination, or assignment and the grades obtained from these lecture units will be combined to produce a mark for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12</w:t>
      </w:r>
      <w:r w:rsidR="00DC0EF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point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subject, CHM 4201. The research project is assessed on the basis of a thesis and by an oral examination. The grade obtained from the project assessment, thesis examination and oral examination will be combined to produce a mark for the 36</w:t>
      </w:r>
      <w:r w:rsidR="00DC0EFD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point subject, CHM4100.  </w:t>
      </w:r>
    </w:p>
    <w:p w14:paraId="7A9745DB" w14:textId="77777777" w:rsidR="000759D8" w:rsidRDefault="007C1B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0" w:line="225" w:lineRule="auto"/>
        <w:ind w:left="54" w:right="373" w:firstLine="9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The information on this form is collected for the primary purpose of enabling the School to notify you outside </w:t>
      </w:r>
      <w:proofErr w:type="gramStart"/>
      <w:r>
        <w:rPr>
          <w:i/>
          <w:color w:val="000000"/>
          <w:sz w:val="18"/>
          <w:szCs w:val="18"/>
        </w:rPr>
        <w:t>of  semester</w:t>
      </w:r>
      <w:proofErr w:type="gramEnd"/>
      <w:r>
        <w:rPr>
          <w:i/>
          <w:color w:val="000000"/>
          <w:sz w:val="18"/>
          <w:szCs w:val="18"/>
        </w:rPr>
        <w:t xml:space="preserve"> of your Honours project allocation and supervision arrangements. You have a right to access </w:t>
      </w:r>
      <w:proofErr w:type="gramStart"/>
      <w:r>
        <w:rPr>
          <w:i/>
          <w:color w:val="000000"/>
          <w:sz w:val="18"/>
          <w:szCs w:val="18"/>
        </w:rPr>
        <w:t>personal  information</w:t>
      </w:r>
      <w:proofErr w:type="gramEnd"/>
      <w:r>
        <w:rPr>
          <w:i/>
          <w:color w:val="000000"/>
          <w:sz w:val="18"/>
          <w:szCs w:val="18"/>
        </w:rPr>
        <w:t xml:space="preserve"> that Monash University holds about you, subject to any expectations in legislation. If you wish to </w:t>
      </w:r>
      <w:proofErr w:type="gramStart"/>
      <w:r>
        <w:rPr>
          <w:i/>
          <w:color w:val="000000"/>
          <w:sz w:val="18"/>
          <w:szCs w:val="18"/>
        </w:rPr>
        <w:t>seek  access</w:t>
      </w:r>
      <w:proofErr w:type="gramEnd"/>
      <w:r>
        <w:rPr>
          <w:i/>
          <w:color w:val="000000"/>
          <w:sz w:val="18"/>
          <w:szCs w:val="18"/>
        </w:rPr>
        <w:t xml:space="preserve"> to your personal information to inquire about the handling of your personal information, please contact the  University Privacy Officer on 9902 9589 </w:t>
      </w:r>
    </w:p>
    <w:sectPr w:rsidR="000759D8">
      <w:pgSz w:w="12240" w:h="15840"/>
      <w:pgMar w:top="792" w:right="1077" w:bottom="890" w:left="127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D8"/>
    <w:rsid w:val="00007BDC"/>
    <w:rsid w:val="000759D8"/>
    <w:rsid w:val="000B2234"/>
    <w:rsid w:val="00197F43"/>
    <w:rsid w:val="001A57CE"/>
    <w:rsid w:val="00202E0D"/>
    <w:rsid w:val="00255685"/>
    <w:rsid w:val="00305E8E"/>
    <w:rsid w:val="00330A7C"/>
    <w:rsid w:val="003D6B01"/>
    <w:rsid w:val="00414BE9"/>
    <w:rsid w:val="00511AC2"/>
    <w:rsid w:val="005529B5"/>
    <w:rsid w:val="005F0396"/>
    <w:rsid w:val="00660C1F"/>
    <w:rsid w:val="006760FF"/>
    <w:rsid w:val="006C3AFF"/>
    <w:rsid w:val="006F730D"/>
    <w:rsid w:val="00743406"/>
    <w:rsid w:val="007C1B09"/>
    <w:rsid w:val="00A24E62"/>
    <w:rsid w:val="00AE0CEF"/>
    <w:rsid w:val="00B16B63"/>
    <w:rsid w:val="00B63410"/>
    <w:rsid w:val="00BC547B"/>
    <w:rsid w:val="00C31078"/>
    <w:rsid w:val="00CB5079"/>
    <w:rsid w:val="00CE3E1D"/>
    <w:rsid w:val="00D95D77"/>
    <w:rsid w:val="00DC0EFD"/>
    <w:rsid w:val="00DD4A3F"/>
    <w:rsid w:val="00D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ECEC"/>
  <w15:docId w15:val="{9ADD2E12-26F7-4032-82F1-4419CA70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8512-44C9-4D53-A4AB-126E438D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David Turner</cp:lastModifiedBy>
  <cp:revision>4</cp:revision>
  <dcterms:created xsi:type="dcterms:W3CDTF">2024-09-25T05:03:00Z</dcterms:created>
  <dcterms:modified xsi:type="dcterms:W3CDTF">2025-03-18T04:53:00Z</dcterms:modified>
</cp:coreProperties>
</file>