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D1F" w:rsidRPr="00D37D1F" w:rsidRDefault="00246BE3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Guide</w:t>
      </w:r>
      <w:r w:rsidR="00D37D1F" w:rsidRPr="00D37D1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to choosing the appropriate level one mathematics and statistics unit for your course</w:t>
      </w:r>
    </w:p>
    <w:p w:rsidR="00246BE3" w:rsidRPr="00246BE3" w:rsidRDefault="00246BE3">
      <w:pPr>
        <w:rPr>
          <w:rFonts w:cstheme="minorHAnsi"/>
          <w:b/>
          <w:color w:val="000000"/>
          <w:shd w:val="clear" w:color="auto" w:fill="FFFFFF"/>
        </w:rPr>
      </w:pPr>
      <w:r w:rsidRPr="00246BE3">
        <w:rPr>
          <w:rFonts w:cstheme="minorHAnsi"/>
          <w:b/>
          <w:color w:val="000000"/>
          <w:shd w:val="clear" w:color="auto" w:fill="FFFFFF"/>
        </w:rPr>
        <w:t>Clayton</w:t>
      </w:r>
    </w:p>
    <w:p w:rsidR="00EB2B6B" w:rsidRPr="000D0891" w:rsidRDefault="00EB2B6B">
      <w:pPr>
        <w:rPr>
          <w:rFonts w:cstheme="minorHAnsi"/>
          <w:color w:val="000000"/>
          <w:shd w:val="clear" w:color="auto" w:fill="FFFFFF"/>
        </w:rPr>
      </w:pPr>
      <w:r w:rsidRPr="000D0891">
        <w:rPr>
          <w:rFonts w:cstheme="minorHAnsi"/>
          <w:color w:val="000000"/>
          <w:shd w:val="clear" w:color="auto" w:fill="FFFFFF"/>
        </w:rPr>
        <w:t xml:space="preserve">You must complete at least one of the following level 1 mathematics or statistics units </w:t>
      </w:r>
      <w:r w:rsidR="00D37D1F" w:rsidRPr="000D0891">
        <w:rPr>
          <w:rFonts w:cstheme="minorHAnsi"/>
          <w:color w:val="000000"/>
          <w:shd w:val="clear" w:color="auto" w:fill="FFFFFF"/>
        </w:rPr>
        <w:t>(</w:t>
      </w:r>
      <w:r w:rsidRPr="000D0891">
        <w:rPr>
          <w:rFonts w:cstheme="minorHAnsi"/>
          <w:color w:val="000000"/>
          <w:shd w:val="clear" w:color="auto" w:fill="FFFFFF"/>
        </w:rPr>
        <w:t>if not already taken as part of a level 1 approved sequence</w:t>
      </w:r>
      <w:r w:rsidR="00D37D1F" w:rsidRPr="000D0891">
        <w:rPr>
          <w:rFonts w:cstheme="minorHAnsi"/>
          <w:color w:val="000000"/>
          <w:shd w:val="clear" w:color="auto" w:fill="FFFFFF"/>
        </w:rPr>
        <w:t>)</w:t>
      </w:r>
      <w:r w:rsidR="00CF0A65" w:rsidRPr="000D0891">
        <w:rPr>
          <w:rFonts w:cstheme="minorHAnsi"/>
          <w:color w:val="000000"/>
          <w:shd w:val="clear" w:color="auto" w:fill="FFFFFF"/>
        </w:rPr>
        <w:t xml:space="preserve"> – SCI1022, SCI1020, STA1010, MTH1020 and MTH1030/MTH1035. </w:t>
      </w:r>
      <w:r w:rsidRPr="000D0891">
        <w:rPr>
          <w:rFonts w:cstheme="minorHAnsi"/>
          <w:color w:val="000000"/>
          <w:shd w:val="clear" w:color="auto" w:fill="FFFFFF"/>
        </w:rPr>
        <w:t xml:space="preserve">The unit you choose will depend on your mathematics background and interests. You must complete this requirement within the first 48 credit points of your science course, or </w:t>
      </w:r>
      <w:r w:rsidR="00A7314F" w:rsidRPr="000D0891">
        <w:rPr>
          <w:rFonts w:cstheme="minorHAnsi"/>
          <w:color w:val="000000"/>
          <w:shd w:val="clear" w:color="auto" w:fill="FFFFFF"/>
        </w:rPr>
        <w:t xml:space="preserve">within the first 72 credit points of your science double degree course. </w:t>
      </w:r>
    </w:p>
    <w:p w:rsidR="00C36C74" w:rsidRPr="000D0891" w:rsidRDefault="00C36C74" w:rsidP="00C36C74">
      <w:pPr>
        <w:shd w:val="clear" w:color="auto" w:fill="FFFFFF"/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 w:rsidRPr="000D0891">
        <w:rPr>
          <w:rFonts w:cstheme="minorHAnsi"/>
          <w:b/>
          <w:color w:val="000000"/>
          <w:shd w:val="clear" w:color="auto" w:fill="FFFFFF"/>
        </w:rPr>
        <w:t>Information on double degrees:</w:t>
      </w:r>
    </w:p>
    <w:p w:rsidR="00C36C74" w:rsidRPr="000D0891" w:rsidRDefault="00C36C74" w:rsidP="00C36C74">
      <w:pPr>
        <w:shd w:val="clear" w:color="auto" w:fill="FFFFFF"/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0D0891">
        <w:rPr>
          <w:rFonts w:cstheme="minorHAnsi"/>
          <w:color w:val="000000"/>
          <w:shd w:val="clear" w:color="auto" w:fill="FFFFFF"/>
        </w:rPr>
        <w:t xml:space="preserve">If you are in the following double degree courses: </w:t>
      </w:r>
      <w:hyperlink r:id="rId5" w:history="1">
        <w:r w:rsidRPr="000D0891">
          <w:rPr>
            <w:rStyle w:val="Hyperlink"/>
            <w:rFonts w:cstheme="minorHAnsi"/>
            <w:shd w:val="clear" w:color="auto" w:fill="FFFFFF"/>
          </w:rPr>
          <w:t>B2023</w:t>
        </w:r>
      </w:hyperlink>
      <w:r w:rsidRPr="000D0891">
        <w:rPr>
          <w:rFonts w:cstheme="minorHAnsi"/>
          <w:color w:val="000000"/>
          <w:shd w:val="clear" w:color="auto" w:fill="FFFFFF"/>
        </w:rPr>
        <w:t xml:space="preserve"> Bachelor of Commerce and Bachelor of Science, </w:t>
      </w:r>
      <w:hyperlink r:id="rId6" w:history="1">
        <w:r w:rsidRPr="000D0891">
          <w:rPr>
            <w:rStyle w:val="Hyperlink"/>
            <w:rFonts w:cstheme="minorHAnsi"/>
            <w:shd w:val="clear" w:color="auto" w:fill="FFFFFF"/>
          </w:rPr>
          <w:t>E3007</w:t>
        </w:r>
      </w:hyperlink>
      <w:r w:rsidRPr="000D0891">
        <w:rPr>
          <w:rFonts w:cstheme="minorHAnsi"/>
          <w:color w:val="000000"/>
          <w:shd w:val="clear" w:color="auto" w:fill="FFFFFF"/>
        </w:rPr>
        <w:t xml:space="preserve"> Bachelor of Engineering (Honours) and Bachelor of Science, or </w:t>
      </w:r>
      <w:hyperlink r:id="rId7" w:history="1">
        <w:r w:rsidRPr="000D0891">
          <w:rPr>
            <w:rStyle w:val="Hyperlink"/>
            <w:rFonts w:cstheme="minorHAnsi"/>
            <w:shd w:val="clear" w:color="auto" w:fill="FFFFFF"/>
          </w:rPr>
          <w:t>S2004</w:t>
        </w:r>
      </w:hyperlink>
      <w:r w:rsidRPr="000D0891">
        <w:rPr>
          <w:rFonts w:cstheme="minorHAnsi"/>
          <w:color w:val="000000"/>
          <w:shd w:val="clear" w:color="auto" w:fill="FFFFFF"/>
        </w:rPr>
        <w:t xml:space="preserve"> Bachelor of Science and Bachelor of Computer Science you are exempt from completing the mathematics and statistics unit because those courses include a corresponding mathematics requirement, that is: ETC1000 (Business and economic statistics), ENG1005 (Engineering mathematics) and MAT1841 (Continuous mathematics for computer science).</w:t>
      </w:r>
    </w:p>
    <w:p w:rsidR="00C36C74" w:rsidRPr="000D0891" w:rsidRDefault="00C36C74" w:rsidP="00C36C74">
      <w:pPr>
        <w:spacing w:after="0" w:line="240" w:lineRule="auto"/>
        <w:rPr>
          <w:rFonts w:eastAsia="Times New Roman" w:cstheme="minorHAnsi"/>
          <w:lang w:eastAsia="en-AU"/>
        </w:rPr>
      </w:pPr>
    </w:p>
    <w:p w:rsidR="00EB2B6B" w:rsidRPr="000D0891" w:rsidRDefault="00EB2B6B" w:rsidP="00C36C74">
      <w:pPr>
        <w:spacing w:after="0" w:line="240" w:lineRule="auto"/>
        <w:rPr>
          <w:rFonts w:eastAsia="Times New Roman" w:cstheme="minorHAnsi"/>
          <w:lang w:eastAsia="en-AU"/>
        </w:rPr>
      </w:pPr>
      <w:r w:rsidRPr="000D0891">
        <w:rPr>
          <w:rFonts w:eastAsia="Times New Roman" w:cstheme="minorHAnsi"/>
          <w:lang w:eastAsia="en-AU"/>
        </w:rPr>
        <w:t xml:space="preserve">Please check you meet the pre-requisites for </w:t>
      </w:r>
      <w:r w:rsidR="00D37D1F" w:rsidRPr="000D0891">
        <w:rPr>
          <w:rFonts w:eastAsia="Times New Roman" w:cstheme="minorHAnsi"/>
          <w:lang w:eastAsia="en-AU"/>
        </w:rPr>
        <w:t xml:space="preserve">the level one </w:t>
      </w:r>
      <w:r w:rsidRPr="000D0891">
        <w:rPr>
          <w:rFonts w:eastAsia="Times New Roman" w:cstheme="minorHAnsi"/>
          <w:lang w:eastAsia="en-AU"/>
        </w:rPr>
        <w:t>mathematics and statistics unit</w:t>
      </w:r>
      <w:r w:rsidR="00D37D1F" w:rsidRPr="000D0891">
        <w:rPr>
          <w:rFonts w:eastAsia="Times New Roman" w:cstheme="minorHAnsi"/>
          <w:lang w:eastAsia="en-AU"/>
        </w:rPr>
        <w:t>s</w:t>
      </w:r>
      <w:r w:rsidRPr="000D0891">
        <w:rPr>
          <w:rFonts w:eastAsia="Times New Roman" w:cstheme="minorHAnsi"/>
          <w:lang w:eastAsia="en-AU"/>
        </w:rPr>
        <w:t xml:space="preserve"> </w:t>
      </w:r>
      <w:r w:rsidR="00A7314F" w:rsidRPr="000D0891">
        <w:rPr>
          <w:rFonts w:eastAsia="Times New Roman" w:cstheme="minorHAnsi"/>
          <w:lang w:eastAsia="en-AU"/>
        </w:rPr>
        <w:t xml:space="preserve">as follows: </w:t>
      </w:r>
    </w:p>
    <w:p w:rsidR="00C36C74" w:rsidRPr="000D0891" w:rsidRDefault="00C36C74" w:rsidP="00C36C74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4165"/>
        <w:gridCol w:w="8168"/>
      </w:tblGrid>
      <w:tr w:rsidR="00A7314F" w:rsidRPr="000D0891" w:rsidTr="00831FE5">
        <w:tc>
          <w:tcPr>
            <w:tcW w:w="1217" w:type="dxa"/>
          </w:tcPr>
          <w:p w:rsidR="00A7314F" w:rsidRPr="000D0891" w:rsidRDefault="00A7314F" w:rsidP="00831FE5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en-AU"/>
              </w:rPr>
            </w:pPr>
            <w:r w:rsidRPr="000D0891">
              <w:rPr>
                <w:rFonts w:eastAsia="Times New Roman" w:cstheme="minorHAnsi"/>
                <w:b/>
                <w:lang w:eastAsia="en-AU"/>
              </w:rPr>
              <w:t>Unit code</w:t>
            </w:r>
          </w:p>
        </w:tc>
        <w:tc>
          <w:tcPr>
            <w:tcW w:w="4165" w:type="dxa"/>
          </w:tcPr>
          <w:p w:rsidR="00A7314F" w:rsidRPr="000D0891" w:rsidRDefault="00A7314F" w:rsidP="00831FE5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en-AU"/>
              </w:rPr>
            </w:pPr>
            <w:r w:rsidRPr="000D0891">
              <w:rPr>
                <w:rFonts w:eastAsia="Times New Roman" w:cstheme="minorHAnsi"/>
                <w:b/>
                <w:lang w:eastAsia="en-AU"/>
              </w:rPr>
              <w:t xml:space="preserve">Unit title </w:t>
            </w:r>
          </w:p>
        </w:tc>
        <w:tc>
          <w:tcPr>
            <w:tcW w:w="8168" w:type="dxa"/>
          </w:tcPr>
          <w:p w:rsidR="00A7314F" w:rsidRPr="000D0891" w:rsidRDefault="00A7314F" w:rsidP="00831FE5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en-AU"/>
              </w:rPr>
            </w:pPr>
            <w:r w:rsidRPr="000D0891">
              <w:rPr>
                <w:rFonts w:eastAsia="Times New Roman" w:cstheme="minorHAnsi"/>
                <w:b/>
                <w:lang w:eastAsia="en-AU"/>
              </w:rPr>
              <w:t>Pre-requisites</w:t>
            </w:r>
          </w:p>
        </w:tc>
      </w:tr>
      <w:tr w:rsidR="00A7314F" w:rsidRPr="000D0891" w:rsidTr="00831FE5">
        <w:tc>
          <w:tcPr>
            <w:tcW w:w="1217" w:type="dxa"/>
          </w:tcPr>
          <w:p w:rsidR="00A7314F" w:rsidRPr="000D0891" w:rsidRDefault="007C5F2D" w:rsidP="00CF0A65">
            <w:pPr>
              <w:rPr>
                <w:rFonts w:eastAsia="Times New Roman" w:cstheme="minorHAnsi"/>
                <w:lang w:eastAsia="en-AU"/>
              </w:rPr>
            </w:pPr>
            <w:hyperlink r:id="rId8" w:history="1">
              <w:r w:rsidR="00A7314F" w:rsidRPr="000D0891">
                <w:rPr>
                  <w:rStyle w:val="Hyperlink"/>
                  <w:rFonts w:eastAsia="Times New Roman" w:cstheme="minorHAnsi"/>
                  <w:bCs/>
                  <w:lang w:eastAsia="en-AU"/>
                </w:rPr>
                <w:t>SCI1022</w:t>
              </w:r>
            </w:hyperlink>
            <w:r w:rsidR="00A7314F" w:rsidRPr="000D0891">
              <w:rPr>
                <w:rFonts w:eastAsia="Times New Roman" w:cstheme="minorHAnsi"/>
                <w:lang w:eastAsia="en-AU"/>
              </w:rPr>
              <w:t> </w:t>
            </w:r>
          </w:p>
        </w:tc>
        <w:tc>
          <w:tcPr>
            <w:tcW w:w="4165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Introduction to scientific coding</w:t>
            </w:r>
          </w:p>
        </w:tc>
        <w:tc>
          <w:tcPr>
            <w:tcW w:w="8168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 xml:space="preserve">VCE Mathematical methods units 3 and 4 with a raw study score of at least 25 (or equivalent) or </w:t>
            </w:r>
            <w:hyperlink r:id="rId9" w:history="1">
              <w:r w:rsidRPr="000D0891">
                <w:rPr>
                  <w:rStyle w:val="Hyperlink"/>
                  <w:rFonts w:eastAsia="Times New Roman" w:cstheme="minorHAnsi"/>
                  <w:lang w:eastAsia="en-AU"/>
                </w:rPr>
                <w:t>MTH1010</w:t>
              </w:r>
            </w:hyperlink>
            <w:r w:rsidRPr="000D0891">
              <w:rPr>
                <w:rFonts w:eastAsia="Times New Roman" w:cstheme="minorHAnsi"/>
                <w:lang w:eastAsia="en-AU"/>
              </w:rPr>
              <w:t xml:space="preserve"> or STA1010</w:t>
            </w:r>
          </w:p>
          <w:p w:rsidR="00CF0A65" w:rsidRPr="000D0891" w:rsidRDefault="00CF0A65" w:rsidP="00CF0A65">
            <w:pPr>
              <w:rPr>
                <w:rFonts w:eastAsia="Times New Roman" w:cstheme="minorHAnsi"/>
                <w:lang w:eastAsia="en-AU"/>
              </w:rPr>
            </w:pPr>
          </w:p>
        </w:tc>
      </w:tr>
      <w:tr w:rsidR="00A7314F" w:rsidRPr="000D0891" w:rsidTr="00831FE5">
        <w:tc>
          <w:tcPr>
            <w:tcW w:w="1217" w:type="dxa"/>
          </w:tcPr>
          <w:p w:rsidR="00A7314F" w:rsidRPr="000D0891" w:rsidRDefault="007C5F2D" w:rsidP="00CF0A65">
            <w:pPr>
              <w:rPr>
                <w:rFonts w:eastAsia="Times New Roman" w:cstheme="minorHAnsi"/>
                <w:lang w:eastAsia="en-AU"/>
              </w:rPr>
            </w:pPr>
            <w:hyperlink r:id="rId10" w:history="1">
              <w:r w:rsidR="00A7314F" w:rsidRPr="000D0891">
                <w:rPr>
                  <w:rStyle w:val="Hyperlink"/>
                  <w:rFonts w:eastAsia="Times New Roman" w:cstheme="minorHAnsi"/>
                  <w:bCs/>
                  <w:lang w:eastAsia="en-AU"/>
                </w:rPr>
                <w:t>SCI1020</w:t>
              </w:r>
            </w:hyperlink>
          </w:p>
        </w:tc>
        <w:tc>
          <w:tcPr>
            <w:tcW w:w="4165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Introduction to statistical reasoning</w:t>
            </w:r>
          </w:p>
        </w:tc>
        <w:tc>
          <w:tcPr>
            <w:tcW w:w="8168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No Year 12 prerequisite</w:t>
            </w:r>
          </w:p>
          <w:p w:rsidR="00CF0A65" w:rsidRPr="000D0891" w:rsidRDefault="00CF0A65" w:rsidP="00CF0A65">
            <w:pPr>
              <w:rPr>
                <w:rFonts w:eastAsia="Times New Roman" w:cstheme="minorHAnsi"/>
                <w:lang w:eastAsia="en-AU"/>
              </w:rPr>
            </w:pPr>
          </w:p>
        </w:tc>
      </w:tr>
      <w:tr w:rsidR="00A7314F" w:rsidRPr="000D0891" w:rsidTr="00831FE5">
        <w:tc>
          <w:tcPr>
            <w:tcW w:w="1217" w:type="dxa"/>
          </w:tcPr>
          <w:p w:rsidR="00A7314F" w:rsidRPr="000D0891" w:rsidRDefault="007C5F2D" w:rsidP="00CF0A65">
            <w:pPr>
              <w:rPr>
                <w:rFonts w:eastAsia="Times New Roman" w:cstheme="minorHAnsi"/>
                <w:lang w:eastAsia="en-AU"/>
              </w:rPr>
            </w:pPr>
            <w:hyperlink r:id="rId11" w:history="1">
              <w:r w:rsidR="00A7314F" w:rsidRPr="000D0891">
                <w:rPr>
                  <w:rStyle w:val="Hyperlink"/>
                  <w:rFonts w:eastAsia="Times New Roman" w:cstheme="minorHAnsi"/>
                  <w:bCs/>
                  <w:lang w:eastAsia="en-AU"/>
                </w:rPr>
                <w:t>STA1010</w:t>
              </w:r>
            </w:hyperlink>
          </w:p>
        </w:tc>
        <w:tc>
          <w:tcPr>
            <w:tcW w:w="4165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Statistical methods for science</w:t>
            </w:r>
          </w:p>
        </w:tc>
        <w:tc>
          <w:tcPr>
            <w:tcW w:w="8168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VCE Mathematical methods 3 and 4 (or equivalent) or SCI1020</w:t>
            </w:r>
          </w:p>
          <w:p w:rsidR="00CF0A65" w:rsidRPr="000D0891" w:rsidRDefault="00CF0A65" w:rsidP="00CF0A65">
            <w:pPr>
              <w:rPr>
                <w:rFonts w:eastAsia="Times New Roman" w:cstheme="minorHAnsi"/>
                <w:lang w:eastAsia="en-AU"/>
              </w:rPr>
            </w:pPr>
          </w:p>
        </w:tc>
      </w:tr>
      <w:tr w:rsidR="00A7314F" w:rsidRPr="000D0891" w:rsidTr="00831FE5">
        <w:tc>
          <w:tcPr>
            <w:tcW w:w="1217" w:type="dxa"/>
          </w:tcPr>
          <w:p w:rsidR="00A7314F" w:rsidRPr="000D0891" w:rsidRDefault="007C5F2D" w:rsidP="00CF0A65">
            <w:pPr>
              <w:rPr>
                <w:rFonts w:eastAsia="Times New Roman" w:cstheme="minorHAnsi"/>
                <w:lang w:eastAsia="en-AU"/>
              </w:rPr>
            </w:pPr>
            <w:hyperlink r:id="rId12" w:history="1">
              <w:r w:rsidR="00A7314F" w:rsidRPr="000D0891">
                <w:rPr>
                  <w:rStyle w:val="Hyperlink"/>
                  <w:rFonts w:eastAsia="Times New Roman" w:cstheme="minorHAnsi"/>
                  <w:bCs/>
                  <w:lang w:eastAsia="en-AU"/>
                </w:rPr>
                <w:t>MTH1020</w:t>
              </w:r>
            </w:hyperlink>
          </w:p>
        </w:tc>
        <w:tc>
          <w:tcPr>
            <w:tcW w:w="4165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Analysis of change</w:t>
            </w:r>
          </w:p>
        </w:tc>
        <w:tc>
          <w:tcPr>
            <w:tcW w:w="8168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 xml:space="preserve"> VCE Mathematical Methods units 3 and 4 with a raw study score of at least 25 (or equivalent) or </w:t>
            </w:r>
            <w:hyperlink r:id="rId13" w:history="1">
              <w:r w:rsidRPr="000D0891">
                <w:rPr>
                  <w:rStyle w:val="Hyperlink"/>
                  <w:rFonts w:eastAsia="Times New Roman" w:cstheme="minorHAnsi"/>
                  <w:lang w:eastAsia="en-AU"/>
                </w:rPr>
                <w:t>MTH1010</w:t>
              </w:r>
            </w:hyperlink>
          </w:p>
          <w:p w:rsidR="00CF0A65" w:rsidRPr="000D0891" w:rsidRDefault="00CF0A65" w:rsidP="00CF0A65">
            <w:pPr>
              <w:rPr>
                <w:rFonts w:eastAsia="Times New Roman" w:cstheme="minorHAnsi"/>
                <w:lang w:eastAsia="en-AU"/>
              </w:rPr>
            </w:pPr>
          </w:p>
        </w:tc>
      </w:tr>
      <w:tr w:rsidR="00A7314F" w:rsidRPr="000D0891" w:rsidTr="00831FE5">
        <w:tc>
          <w:tcPr>
            <w:tcW w:w="1217" w:type="dxa"/>
          </w:tcPr>
          <w:p w:rsidR="00A7314F" w:rsidRPr="000D0891" w:rsidRDefault="007C5F2D" w:rsidP="00CF0A65">
            <w:pPr>
              <w:rPr>
                <w:rFonts w:eastAsia="Times New Roman" w:cstheme="minorHAnsi"/>
                <w:lang w:eastAsia="en-AU"/>
              </w:rPr>
            </w:pPr>
            <w:hyperlink r:id="rId14" w:history="1">
              <w:r w:rsidR="00A7314F" w:rsidRPr="000D0891">
                <w:rPr>
                  <w:rStyle w:val="Hyperlink"/>
                  <w:rFonts w:eastAsia="Times New Roman" w:cstheme="minorHAnsi"/>
                  <w:bCs/>
                  <w:lang w:eastAsia="en-AU"/>
                </w:rPr>
                <w:t>MTH1030</w:t>
              </w:r>
            </w:hyperlink>
          </w:p>
        </w:tc>
        <w:tc>
          <w:tcPr>
            <w:tcW w:w="4165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Techniques for modelling</w:t>
            </w:r>
          </w:p>
        </w:tc>
        <w:tc>
          <w:tcPr>
            <w:tcW w:w="8168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Specialist Mathematics units 3 and 4 with a raw study score of at least 30 (or equivalent) or MTH1020</w:t>
            </w:r>
          </w:p>
          <w:p w:rsidR="00CF0A65" w:rsidRPr="000D0891" w:rsidRDefault="00CF0A65" w:rsidP="00CF0A65">
            <w:pPr>
              <w:rPr>
                <w:rFonts w:eastAsia="Times New Roman" w:cstheme="minorHAnsi"/>
                <w:lang w:eastAsia="en-AU"/>
              </w:rPr>
            </w:pPr>
          </w:p>
        </w:tc>
      </w:tr>
      <w:tr w:rsidR="00A7314F" w:rsidRPr="000D0891" w:rsidTr="00831FE5">
        <w:tc>
          <w:tcPr>
            <w:tcW w:w="1217" w:type="dxa"/>
          </w:tcPr>
          <w:p w:rsidR="00A7314F" w:rsidRPr="000D0891" w:rsidRDefault="007C5F2D" w:rsidP="00CF0A65">
            <w:pPr>
              <w:rPr>
                <w:rFonts w:eastAsia="Times New Roman" w:cstheme="minorHAnsi"/>
                <w:lang w:eastAsia="en-AU"/>
              </w:rPr>
            </w:pPr>
            <w:hyperlink r:id="rId15" w:history="1">
              <w:r w:rsidR="00A7314F" w:rsidRPr="000D0891">
                <w:rPr>
                  <w:rStyle w:val="Hyperlink"/>
                  <w:rFonts w:eastAsia="Times New Roman" w:cstheme="minorHAnsi"/>
                  <w:bCs/>
                  <w:lang w:eastAsia="en-AU"/>
                </w:rPr>
                <w:t>MTH1035</w:t>
              </w:r>
            </w:hyperlink>
            <w:r w:rsidR="00A7314F" w:rsidRPr="000D0891">
              <w:rPr>
                <w:rFonts w:eastAsia="Times New Roman" w:cstheme="minorHAnsi"/>
                <w:bCs/>
                <w:lang w:eastAsia="en-AU"/>
              </w:rPr>
              <w:t> </w:t>
            </w:r>
          </w:p>
        </w:tc>
        <w:tc>
          <w:tcPr>
            <w:tcW w:w="4165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Techniques for modelling (advanced)</w:t>
            </w:r>
          </w:p>
        </w:tc>
        <w:tc>
          <w:tcPr>
            <w:tcW w:w="8168" w:type="dxa"/>
          </w:tcPr>
          <w:p w:rsidR="00A7314F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t>VCE Specialist Mathematics with an ATAR score of 95 or above; a VCE raw study score of 35 or above in Specialist Mathematics (or equivalent); a HD in MTH1020; or by approval of the Head of School of Mathematics.</w:t>
            </w:r>
          </w:p>
          <w:p w:rsidR="00CF0A65" w:rsidRPr="000D0891" w:rsidRDefault="00A7314F" w:rsidP="00CF0A65">
            <w:pPr>
              <w:rPr>
                <w:rFonts w:eastAsia="Times New Roman" w:cstheme="minorHAnsi"/>
                <w:lang w:eastAsia="en-AU"/>
              </w:rPr>
            </w:pPr>
            <w:r w:rsidRPr="000D0891">
              <w:rPr>
                <w:rFonts w:eastAsia="Times New Roman" w:cstheme="minorHAnsi"/>
                <w:lang w:eastAsia="en-AU"/>
              </w:rPr>
              <w:lastRenderedPageBreak/>
              <w:t>This unit is an alternative to MTH1030 if you have a strong mathematical foundation. MTH1035 will follow the same curriculum as MTH1030 but will cover additional more advanced material.</w:t>
            </w:r>
          </w:p>
        </w:tc>
      </w:tr>
    </w:tbl>
    <w:p w:rsidR="00CF0A65" w:rsidRPr="000D0891" w:rsidRDefault="00CF0A65">
      <w:pPr>
        <w:rPr>
          <w:rFonts w:cstheme="minorHAnsi"/>
        </w:rPr>
      </w:pPr>
    </w:p>
    <w:p w:rsidR="00EB2B6B" w:rsidRPr="000D0891" w:rsidRDefault="00CF0A65">
      <w:pPr>
        <w:rPr>
          <w:rFonts w:cstheme="minorHAnsi"/>
        </w:rPr>
      </w:pPr>
      <w:r w:rsidRPr="000D0891">
        <w:rPr>
          <w:rFonts w:cstheme="minorHAnsi"/>
        </w:rPr>
        <w:t xml:space="preserve">Note: SCI1020 is not an option for your level one mathematics and statistics unit if you are enrolled in </w:t>
      </w:r>
      <w:hyperlink r:id="rId16" w:history="1">
        <w:r w:rsidRPr="000D0891">
          <w:rPr>
            <w:rStyle w:val="Hyperlink"/>
            <w:rFonts w:cstheme="minorHAnsi"/>
          </w:rPr>
          <w:t>S3002</w:t>
        </w:r>
      </w:hyperlink>
      <w:r w:rsidRPr="000D0891">
        <w:rPr>
          <w:rFonts w:cstheme="minorHAnsi"/>
        </w:rPr>
        <w:t xml:space="preserve"> Bachelor of Science Advanced - Research (Honours)</w:t>
      </w:r>
    </w:p>
    <w:p w:rsidR="00E7504D" w:rsidRDefault="00EB2B6B">
      <w:pPr>
        <w:rPr>
          <w:rFonts w:cstheme="minorHAnsi"/>
        </w:rPr>
      </w:pPr>
      <w:r w:rsidRPr="000D0891">
        <w:rPr>
          <w:rFonts w:cstheme="minorHAnsi"/>
        </w:rPr>
        <w:t>The</w:t>
      </w:r>
      <w:r w:rsidR="00A7314F" w:rsidRPr="000D0891">
        <w:rPr>
          <w:rFonts w:cstheme="minorHAnsi"/>
        </w:rPr>
        <w:t xml:space="preserve"> following</w:t>
      </w:r>
      <w:r w:rsidRPr="000D0891">
        <w:rPr>
          <w:rFonts w:cstheme="minorHAnsi"/>
        </w:rPr>
        <w:t xml:space="preserve"> table assists you with choosing the recommended or required level one mathematics and statistics unit for your science course, depending on which science major/s you are completing. </w:t>
      </w:r>
    </w:p>
    <w:p w:rsidR="000D0891" w:rsidRPr="000D0891" w:rsidRDefault="000D0891">
      <w:pPr>
        <w:rPr>
          <w:rFonts w:cstheme="minorHAnsi"/>
        </w:rPr>
      </w:pP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9497"/>
      </w:tblGrid>
      <w:tr w:rsidR="00EC2EB5" w:rsidRPr="000D0891" w:rsidTr="000D0891">
        <w:tc>
          <w:tcPr>
            <w:tcW w:w="4253" w:type="dxa"/>
            <w:shd w:val="clear" w:color="auto" w:fill="auto"/>
            <w:vAlign w:val="center"/>
            <w:hideMark/>
          </w:tcPr>
          <w:p w:rsidR="00EC2EB5" w:rsidRPr="000D0891" w:rsidRDefault="00EC2EB5" w:rsidP="003E3F3C">
            <w:pPr>
              <w:spacing w:before="120" w:after="360" w:line="240" w:lineRule="auto"/>
              <w:rPr>
                <w:rFonts w:eastAsia="Times New Roman" w:cstheme="minorHAnsi"/>
                <w:b/>
                <w:bCs/>
                <w:color w:val="505050"/>
                <w:lang w:eastAsia="en-AU"/>
              </w:rPr>
            </w:pPr>
            <w:r w:rsidRPr="000D0891">
              <w:rPr>
                <w:rFonts w:eastAsia="Times New Roman" w:cstheme="minorHAnsi"/>
                <w:b/>
                <w:bCs/>
                <w:color w:val="505050"/>
                <w:lang w:eastAsia="en-AU"/>
              </w:rPr>
              <w:t>Areas of study</w:t>
            </w:r>
            <w:r w:rsidR="00277855" w:rsidRPr="000D0891">
              <w:rPr>
                <w:rFonts w:eastAsia="Times New Roman" w:cstheme="minorHAnsi"/>
                <w:b/>
                <w:bCs/>
                <w:color w:val="505050"/>
                <w:lang w:eastAsia="en-AU"/>
              </w:rPr>
              <w:t>**</w:t>
            </w:r>
          </w:p>
        </w:tc>
        <w:tc>
          <w:tcPr>
            <w:tcW w:w="9497" w:type="dxa"/>
            <w:shd w:val="clear" w:color="auto" w:fill="auto"/>
          </w:tcPr>
          <w:p w:rsidR="00EC2EB5" w:rsidRPr="000D0891" w:rsidRDefault="00EC2EB5" w:rsidP="003E3F3C">
            <w:pPr>
              <w:spacing w:before="120" w:after="360" w:line="240" w:lineRule="auto"/>
              <w:rPr>
                <w:rFonts w:eastAsia="Times New Roman" w:cstheme="minorHAnsi"/>
                <w:b/>
                <w:bCs/>
                <w:color w:val="505050"/>
                <w:lang w:eastAsia="en-AU"/>
              </w:rPr>
            </w:pPr>
            <w:r w:rsidRPr="000D0891">
              <w:rPr>
                <w:rFonts w:eastAsia="Times New Roman" w:cstheme="minorHAnsi"/>
                <w:b/>
                <w:bCs/>
                <w:color w:val="505050"/>
                <w:lang w:eastAsia="en-AU"/>
              </w:rPr>
              <w:t>Level one mathematics and statistics unit recommended/ required for major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auto"/>
          </w:tcPr>
          <w:p w:rsidR="00EC2EB5" w:rsidRPr="000D0891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505050"/>
                <w:lang w:eastAsia="en-AU"/>
              </w:rPr>
            </w:pPr>
            <w:r w:rsidRPr="000D0891">
              <w:rPr>
                <w:rFonts w:eastAsia="Times New Roman" w:cstheme="minorHAnsi"/>
                <w:b/>
                <w:bCs/>
                <w:color w:val="505050"/>
                <w:lang w:eastAsia="en-AU"/>
              </w:rPr>
              <w:t>Biological and life sciences</w:t>
            </w:r>
          </w:p>
        </w:tc>
        <w:tc>
          <w:tcPr>
            <w:tcW w:w="9497" w:type="dxa"/>
            <w:shd w:val="clear" w:color="auto" w:fill="auto"/>
          </w:tcPr>
          <w:p w:rsidR="00EC2EB5" w:rsidRPr="000D0891" w:rsidRDefault="00EC2EB5" w:rsidP="00EC2EB5">
            <w:pPr>
              <w:spacing w:before="120" w:after="360" w:line="240" w:lineRule="auto"/>
              <w:rPr>
                <w:rFonts w:eastAsia="Times New Roman" w:cstheme="minorHAnsi"/>
                <w:b/>
                <w:bCs/>
                <w:color w:val="505050"/>
                <w:lang w:eastAsia="en-AU"/>
              </w:rPr>
            </w:pP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Ecology and conservation biology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Genetics and genomics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SCI1022 recommended for students with an interest in bioinformatics and programming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Plant sciences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Zoology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SCI1020 or STA1010 recommended 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lastRenderedPageBreak/>
              <w:t>Biomedical and behavioural sciences</w:t>
            </w:r>
          </w:p>
        </w:tc>
        <w:tc>
          <w:tcPr>
            <w:tcW w:w="9497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Anatomy and developmental biology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Biochemistry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Human pathology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Immunology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Microbiology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Molecular biology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Pharmacology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Physiology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Psychology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SCI1020 or STA1010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Earth and environmental sciences</w:t>
            </w:r>
          </w:p>
        </w:tc>
        <w:tc>
          <w:tcPr>
            <w:tcW w:w="9497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lastRenderedPageBreak/>
              <w:t>Climate and atmospheric science</w:t>
            </w:r>
          </w:p>
        </w:tc>
        <w:tc>
          <w:tcPr>
            <w:tcW w:w="9497" w:type="dxa"/>
            <w:shd w:val="clear" w:color="auto" w:fill="FFFFFF"/>
          </w:tcPr>
          <w:p w:rsidR="00C36C74" w:rsidRPr="00246BE3" w:rsidRDefault="00C36C74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MTH1030/MTH1035* required for </w:t>
            </w:r>
            <w:r w:rsidRPr="00246BE3">
              <w:rPr>
                <w:rFonts w:cstheme="minorHAnsi"/>
                <w:color w:val="000000" w:themeColor="text1"/>
                <w:shd w:val="clear" w:color="auto" w:fill="FFFFFF"/>
              </w:rPr>
              <w:t>EAE3121 and EAE3152</w:t>
            </w: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 (core units for weather and climate stream and elective units in general stream)</w:t>
            </w:r>
          </w:p>
          <w:p w:rsidR="00EC2EB5" w:rsidRPr="00246BE3" w:rsidRDefault="00EC2EB5" w:rsidP="00C36C74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SCI1022, SCI1020, STA1010, MTH1020 or MTH1030/MTH1035 recommended for </w:t>
            </w:r>
            <w:r w:rsidR="00C36C74"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general steam (if not doing </w:t>
            </w:r>
            <w:r w:rsidR="00C36C74" w:rsidRPr="00246BE3">
              <w:rPr>
                <w:rFonts w:cstheme="minorHAnsi"/>
                <w:color w:val="000000" w:themeColor="text1"/>
                <w:shd w:val="clear" w:color="auto" w:fill="FFFFFF"/>
              </w:rPr>
              <w:t xml:space="preserve">EAE3121 and EAE3152) and </w:t>
            </w:r>
            <w:r w:rsidR="00C36C74" w:rsidRPr="00246BE3">
              <w:rPr>
                <w:rFonts w:eastAsia="Times New Roman" w:cstheme="minorHAnsi"/>
                <w:color w:val="000000" w:themeColor="text1"/>
                <w:lang w:eastAsia="en-AU"/>
              </w:rPr>
              <w:t>climate change science stream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Environmental science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cstheme="minorHAnsi"/>
                <w:color w:val="000000" w:themeColor="text1"/>
              </w:rPr>
            </w:pPr>
            <w:r w:rsidRPr="00246BE3">
              <w:rPr>
                <w:rFonts w:cstheme="minorHAnsi"/>
                <w:color w:val="000000" w:themeColor="text1"/>
              </w:rPr>
              <w:t xml:space="preserve">SCI1020, STA1010 or SCI1022 </w:t>
            </w:r>
            <w:r w:rsidR="00C36C74" w:rsidRPr="00246BE3">
              <w:rPr>
                <w:rFonts w:cstheme="minorHAnsi"/>
                <w:color w:val="000000" w:themeColor="text1"/>
              </w:rPr>
              <w:t>recommended</w:t>
            </w:r>
          </w:p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cstheme="minorHAnsi"/>
                <w:color w:val="000000" w:themeColor="text1"/>
              </w:rPr>
              <w:t xml:space="preserve">SCI1020 or STA1010 </w:t>
            </w:r>
            <w:r w:rsidR="00C36C74" w:rsidRPr="00246BE3">
              <w:rPr>
                <w:rFonts w:cstheme="minorHAnsi"/>
                <w:color w:val="000000" w:themeColor="text1"/>
              </w:rPr>
              <w:t xml:space="preserve">recommended </w:t>
            </w:r>
            <w:r w:rsidRPr="00246BE3">
              <w:rPr>
                <w:rFonts w:cstheme="minorHAnsi"/>
                <w:color w:val="000000" w:themeColor="text1"/>
              </w:rPr>
              <w:t>for ecology stream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Geographical science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SCI1022, SCI1020, STA1010, MTH1020 or MTH1030/MTH1035</w:t>
            </w:r>
            <w:r w:rsidR="00C36C74"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Earth science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SCI1022, SCI1020, STA1010, MTH1020 or MTH1030/MTH1035</w:t>
            </w:r>
            <w:r w:rsidR="00C36C74"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Mathematical and computational sciences</w:t>
            </w:r>
          </w:p>
        </w:tc>
        <w:tc>
          <w:tcPr>
            <w:tcW w:w="9497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Applied mathematics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</w:t>
            </w:r>
            <w:r w:rsidR="00C36C74"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required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Computational science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 and MAT1830 required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Financial and insurance mathematics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 required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Mathematical statistics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 required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lastRenderedPageBreak/>
              <w:t>Mathematics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 required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Pure mathematics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</w:t>
            </w:r>
            <w:r w:rsidR="00C36C74"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required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Physical and chemical sciences</w:t>
            </w:r>
          </w:p>
        </w:tc>
        <w:tc>
          <w:tcPr>
            <w:tcW w:w="9497" w:type="dxa"/>
            <w:shd w:val="clear" w:color="auto" w:fill="EDEDED" w:themeFill="accent3" w:themeFillTint="33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Astrophysics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 required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Chemistry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SCI1022, SCI1020, STA1010, MTH1020 or MTH1030/MTH1035</w:t>
            </w:r>
            <w:r w:rsidR="00C36C74" w:rsidRPr="00246BE3">
              <w:rPr>
                <w:rFonts w:eastAsia="Times New Roman" w:cstheme="minorHAnsi"/>
                <w:color w:val="000000" w:themeColor="text1"/>
                <w:lang w:eastAsia="en-AU"/>
              </w:rPr>
              <w:t xml:space="preserve"> recommended</w:t>
            </w:r>
          </w:p>
        </w:tc>
      </w:tr>
      <w:tr w:rsidR="00EC2EB5" w:rsidRPr="000D0891" w:rsidTr="000D0891">
        <w:tc>
          <w:tcPr>
            <w:tcW w:w="4253" w:type="dxa"/>
            <w:shd w:val="clear" w:color="auto" w:fill="FFFFFF"/>
            <w:hideMark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Physics</w:t>
            </w:r>
          </w:p>
        </w:tc>
        <w:tc>
          <w:tcPr>
            <w:tcW w:w="9497" w:type="dxa"/>
            <w:shd w:val="clear" w:color="auto" w:fill="FFFFFF"/>
          </w:tcPr>
          <w:p w:rsidR="00EC2EB5" w:rsidRPr="00246BE3" w:rsidRDefault="00EC2EB5" w:rsidP="00EC2EB5">
            <w:pPr>
              <w:spacing w:before="120" w:after="36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246BE3">
              <w:rPr>
                <w:rFonts w:eastAsia="Times New Roman" w:cstheme="minorHAnsi"/>
                <w:color w:val="000000" w:themeColor="text1"/>
                <w:lang w:eastAsia="en-AU"/>
              </w:rPr>
              <w:t>MTH1030/MTH1035* required</w:t>
            </w:r>
          </w:p>
        </w:tc>
      </w:tr>
    </w:tbl>
    <w:p w:rsidR="003E3F3C" w:rsidRPr="000D0891" w:rsidRDefault="003E3F3C">
      <w:pPr>
        <w:rPr>
          <w:rFonts w:cstheme="minorHAnsi"/>
        </w:rPr>
      </w:pPr>
    </w:p>
    <w:p w:rsidR="00E7504D" w:rsidRPr="000D0891" w:rsidRDefault="00277855">
      <w:pPr>
        <w:rPr>
          <w:rFonts w:cstheme="minorHAnsi"/>
        </w:rPr>
      </w:pPr>
      <w:r w:rsidRPr="000D0891">
        <w:rPr>
          <w:rFonts w:cstheme="minorHAnsi"/>
        </w:rPr>
        <w:t xml:space="preserve">*Depending on your year 12 back ground you may need to do MTH1020 before MTH1030. In some case students may need to do MTH1010, MTH1020 and then MTH1030. </w:t>
      </w:r>
    </w:p>
    <w:p w:rsidR="00EB2B6B" w:rsidRDefault="00277855" w:rsidP="00E7504D">
      <w:pPr>
        <w:rPr>
          <w:rFonts w:cstheme="minorHAnsi"/>
        </w:rPr>
      </w:pPr>
      <w:r w:rsidRPr="000D0891">
        <w:rPr>
          <w:rFonts w:cstheme="minorHAnsi"/>
        </w:rPr>
        <w:t xml:space="preserve">** </w:t>
      </w:r>
      <w:r w:rsidR="005F7F4C" w:rsidRPr="000D0891">
        <w:rPr>
          <w:rFonts w:cstheme="minorHAnsi"/>
        </w:rPr>
        <w:t xml:space="preserve">Availability of majors – </w:t>
      </w:r>
      <w:r w:rsidRPr="000D0891">
        <w:rPr>
          <w:rFonts w:cstheme="minorHAnsi"/>
        </w:rPr>
        <w:t xml:space="preserve">please refer to this </w:t>
      </w:r>
      <w:hyperlink r:id="rId17" w:history="1">
        <w:r w:rsidRPr="000D0891">
          <w:rPr>
            <w:rStyle w:val="Hyperlink"/>
            <w:rFonts w:cstheme="minorHAnsi"/>
          </w:rPr>
          <w:t>table</w:t>
        </w:r>
      </w:hyperlink>
      <w:r w:rsidRPr="000D0891">
        <w:rPr>
          <w:rFonts w:cstheme="minorHAnsi"/>
        </w:rPr>
        <w:t xml:space="preserve"> for the availability and location of majors, minors and extended majors per discipline. </w:t>
      </w:r>
    </w:p>
    <w:p w:rsidR="00246BE3" w:rsidRPr="00246BE3" w:rsidRDefault="00246BE3" w:rsidP="00E7504D">
      <w:pPr>
        <w:rPr>
          <w:rFonts w:cstheme="minorHAnsi"/>
          <w:b/>
        </w:rPr>
      </w:pPr>
      <w:r w:rsidRPr="00246BE3">
        <w:rPr>
          <w:rFonts w:cstheme="minorHAnsi"/>
          <w:b/>
        </w:rPr>
        <w:t>Malaysia</w:t>
      </w: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9497"/>
      </w:tblGrid>
      <w:tr w:rsidR="00246BE3" w:rsidRPr="000D0891" w:rsidTr="00074C8C">
        <w:tc>
          <w:tcPr>
            <w:tcW w:w="4253" w:type="dxa"/>
            <w:shd w:val="clear" w:color="auto" w:fill="auto"/>
            <w:vAlign w:val="center"/>
            <w:hideMark/>
          </w:tcPr>
          <w:p w:rsidR="00246BE3" w:rsidRPr="000D0891" w:rsidRDefault="00246BE3" w:rsidP="00074C8C">
            <w:pPr>
              <w:spacing w:before="120" w:after="360" w:line="240" w:lineRule="auto"/>
              <w:rPr>
                <w:rFonts w:eastAsia="Times New Roman" w:cstheme="minorHAnsi"/>
                <w:b/>
                <w:bCs/>
                <w:color w:val="505050"/>
                <w:lang w:eastAsia="en-AU"/>
              </w:rPr>
            </w:pPr>
            <w:r w:rsidRPr="000D0891">
              <w:rPr>
                <w:rFonts w:eastAsia="Times New Roman" w:cstheme="minorHAnsi"/>
                <w:b/>
                <w:bCs/>
                <w:color w:val="505050"/>
                <w:lang w:eastAsia="en-AU"/>
              </w:rPr>
              <w:t>Areas of study**</w:t>
            </w:r>
          </w:p>
        </w:tc>
        <w:tc>
          <w:tcPr>
            <w:tcW w:w="9497" w:type="dxa"/>
            <w:shd w:val="clear" w:color="auto" w:fill="auto"/>
          </w:tcPr>
          <w:p w:rsidR="00246BE3" w:rsidRPr="000D0891" w:rsidRDefault="00246BE3" w:rsidP="00074C8C">
            <w:pPr>
              <w:spacing w:before="120" w:after="360" w:line="240" w:lineRule="auto"/>
              <w:rPr>
                <w:rFonts w:eastAsia="Times New Roman" w:cstheme="minorHAnsi"/>
                <w:b/>
                <w:bCs/>
                <w:color w:val="505050"/>
                <w:lang w:eastAsia="en-AU"/>
              </w:rPr>
            </w:pPr>
            <w:r w:rsidRPr="000D0891">
              <w:rPr>
                <w:rFonts w:eastAsia="Times New Roman" w:cstheme="minorHAnsi"/>
                <w:b/>
                <w:bCs/>
                <w:color w:val="505050"/>
                <w:lang w:eastAsia="en-AU"/>
              </w:rPr>
              <w:t xml:space="preserve">Level one mathematics and statistics unit </w:t>
            </w:r>
          </w:p>
        </w:tc>
      </w:tr>
      <w:tr w:rsidR="00246BE3" w:rsidRPr="000D0891" w:rsidTr="00074C8C">
        <w:tc>
          <w:tcPr>
            <w:tcW w:w="4253" w:type="dxa"/>
            <w:shd w:val="clear" w:color="auto" w:fill="auto"/>
          </w:tcPr>
          <w:p w:rsidR="00246BE3" w:rsidRDefault="00246BE3" w:rsidP="00246BE3">
            <w:pPr>
              <w:spacing w:after="0" w:line="240" w:lineRule="auto"/>
              <w:rPr>
                <w:rFonts w:eastAsia="Times New Roman" w:cstheme="minorHAnsi"/>
                <w:bCs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bCs/>
                <w:color w:val="505050"/>
                <w:lang w:eastAsia="en-AU"/>
              </w:rPr>
              <w:t xml:space="preserve">All majors at Monash Malaysia </w:t>
            </w:r>
          </w:p>
          <w:p w:rsidR="00246BE3" w:rsidRPr="00246BE3" w:rsidRDefault="00246BE3" w:rsidP="00246B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bCs/>
                <w:color w:val="505050"/>
                <w:lang w:eastAsia="en-AU"/>
              </w:rPr>
              <w:t>Applied microbiology</w:t>
            </w:r>
          </w:p>
          <w:p w:rsidR="00246BE3" w:rsidRPr="00246BE3" w:rsidRDefault="00246BE3" w:rsidP="00246B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bCs/>
                <w:color w:val="505050"/>
                <w:lang w:eastAsia="en-AU"/>
              </w:rPr>
              <w:t>Biotechnology</w:t>
            </w:r>
          </w:p>
          <w:p w:rsidR="00246BE3" w:rsidRPr="00246BE3" w:rsidRDefault="00246BE3" w:rsidP="00246B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bCs/>
                <w:color w:val="505050"/>
                <w:lang w:eastAsia="en-AU"/>
              </w:rPr>
              <w:t>Genomics and bioinformatics</w:t>
            </w:r>
          </w:p>
          <w:p w:rsidR="00246BE3" w:rsidRPr="00246BE3" w:rsidRDefault="00246BE3" w:rsidP="00246B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bCs/>
                <w:color w:val="505050"/>
                <w:lang w:eastAsia="en-AU"/>
              </w:rPr>
              <w:t>Medicinal chemistry</w:t>
            </w:r>
          </w:p>
          <w:p w:rsidR="00246BE3" w:rsidRPr="00246BE3" w:rsidRDefault="00246BE3" w:rsidP="00246B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color w:val="505050"/>
                <w:lang w:eastAsia="en-AU"/>
              </w:rPr>
              <w:lastRenderedPageBreak/>
              <w:t>Psychology</w:t>
            </w:r>
          </w:p>
          <w:p w:rsidR="00246BE3" w:rsidRPr="00246BE3" w:rsidRDefault="00246BE3" w:rsidP="00246B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color w:val="505050"/>
                <w:lang w:eastAsia="en-AU"/>
              </w:rPr>
              <w:t>Tropical environmental biology</w:t>
            </w:r>
          </w:p>
          <w:p w:rsidR="00246BE3" w:rsidRPr="00246BE3" w:rsidRDefault="00246BE3" w:rsidP="00246BE3">
            <w:pPr>
              <w:spacing w:after="0" w:line="240" w:lineRule="auto"/>
              <w:rPr>
                <w:rFonts w:eastAsia="Times New Roman" w:cstheme="minorHAnsi"/>
                <w:color w:val="505050"/>
                <w:lang w:eastAsia="en-AU"/>
              </w:rPr>
            </w:pPr>
          </w:p>
        </w:tc>
        <w:tc>
          <w:tcPr>
            <w:tcW w:w="9497" w:type="dxa"/>
            <w:shd w:val="clear" w:color="auto" w:fill="auto"/>
          </w:tcPr>
          <w:p w:rsidR="00246BE3" w:rsidRPr="00246BE3" w:rsidRDefault="00246BE3" w:rsidP="00074C8C">
            <w:pPr>
              <w:spacing w:before="120" w:after="360" w:line="240" w:lineRule="auto"/>
              <w:rPr>
                <w:rFonts w:eastAsia="Times New Roman" w:cstheme="minorHAnsi"/>
                <w:bCs/>
                <w:color w:val="505050"/>
                <w:lang w:eastAsia="en-AU"/>
              </w:rPr>
            </w:pPr>
            <w:r w:rsidRPr="00246BE3">
              <w:rPr>
                <w:rFonts w:eastAsia="Times New Roman" w:cstheme="minorHAnsi"/>
                <w:bCs/>
                <w:color w:val="505050"/>
                <w:lang w:eastAsia="en-AU"/>
              </w:rPr>
              <w:lastRenderedPageBreak/>
              <w:t>SCI1020</w:t>
            </w:r>
          </w:p>
        </w:tc>
      </w:tr>
    </w:tbl>
    <w:p w:rsidR="00246BE3" w:rsidRDefault="00246BE3" w:rsidP="00E7504D">
      <w:pPr>
        <w:rPr>
          <w:rFonts w:cstheme="minorHAnsi"/>
        </w:rPr>
      </w:pPr>
    </w:p>
    <w:p w:rsidR="00246BE3" w:rsidRDefault="00246BE3" w:rsidP="00246BE3">
      <w:pPr>
        <w:rPr>
          <w:rFonts w:cstheme="minorHAnsi"/>
        </w:rPr>
      </w:pPr>
      <w:r w:rsidRPr="000D0891">
        <w:rPr>
          <w:rFonts w:cstheme="minorHAnsi"/>
        </w:rPr>
        <w:t xml:space="preserve">** Availability of majors – please refer to this </w:t>
      </w:r>
      <w:hyperlink r:id="rId18" w:history="1">
        <w:r w:rsidRPr="000D0891">
          <w:rPr>
            <w:rStyle w:val="Hyperlink"/>
            <w:rFonts w:cstheme="minorHAnsi"/>
          </w:rPr>
          <w:t>table</w:t>
        </w:r>
      </w:hyperlink>
      <w:r w:rsidRPr="000D0891">
        <w:rPr>
          <w:rFonts w:cstheme="minorHAnsi"/>
        </w:rPr>
        <w:t xml:space="preserve"> for the availability and location of majors, minors and extended majors per discipline. </w:t>
      </w:r>
    </w:p>
    <w:p w:rsidR="00246BE3" w:rsidRPr="000D0891" w:rsidRDefault="00246BE3" w:rsidP="00E7504D">
      <w:pPr>
        <w:rPr>
          <w:rFonts w:cstheme="minorHAnsi"/>
        </w:rPr>
      </w:pPr>
    </w:p>
    <w:sectPr w:rsidR="00246BE3" w:rsidRPr="000D0891" w:rsidSect="000D08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30B1"/>
    <w:multiLevelType w:val="multilevel"/>
    <w:tmpl w:val="637A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F48B5"/>
    <w:multiLevelType w:val="hybridMultilevel"/>
    <w:tmpl w:val="2B7A5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379D"/>
    <w:multiLevelType w:val="hybridMultilevel"/>
    <w:tmpl w:val="B456DF2C"/>
    <w:lvl w:ilvl="0" w:tplc="EEB2A8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43321"/>
    <w:multiLevelType w:val="hybridMultilevel"/>
    <w:tmpl w:val="995A93A6"/>
    <w:lvl w:ilvl="0" w:tplc="EA7883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3C"/>
    <w:rsid w:val="000D0891"/>
    <w:rsid w:val="00246BE3"/>
    <w:rsid w:val="00277855"/>
    <w:rsid w:val="00304E76"/>
    <w:rsid w:val="003E3F3C"/>
    <w:rsid w:val="005F7F4C"/>
    <w:rsid w:val="007C5F2D"/>
    <w:rsid w:val="007D64C7"/>
    <w:rsid w:val="008B0862"/>
    <w:rsid w:val="008B6E47"/>
    <w:rsid w:val="00A7314F"/>
    <w:rsid w:val="00C237F5"/>
    <w:rsid w:val="00C36C74"/>
    <w:rsid w:val="00CF0A65"/>
    <w:rsid w:val="00D37D1F"/>
    <w:rsid w:val="00D95284"/>
    <w:rsid w:val="00E059C7"/>
    <w:rsid w:val="00E7504D"/>
    <w:rsid w:val="00EB2B6B"/>
    <w:rsid w:val="00E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35967-D87F-43DF-8B27-79EA46A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F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E3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1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.monash.edu/current/units/SCI1022" TargetMode="External"/><Relationship Id="rId13" Type="http://schemas.openxmlformats.org/officeDocument/2006/relationships/hyperlink" Target="https://handbook.monash.edu/current/units/MTH1010" TargetMode="External"/><Relationship Id="rId18" Type="http://schemas.openxmlformats.org/officeDocument/2006/relationships/hyperlink" Target="https://www.monash.edu/students/handbooks/faculty-info/undergrad/science/areas-of-study-availab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ndbook.monash.edu/current/courses/S2004" TargetMode="External"/><Relationship Id="rId12" Type="http://schemas.openxmlformats.org/officeDocument/2006/relationships/hyperlink" Target="https://handbook.monash.edu/current/units/MTH1020" TargetMode="External"/><Relationship Id="rId17" Type="http://schemas.openxmlformats.org/officeDocument/2006/relationships/hyperlink" Target="https://www.monash.edu/students/handbooks/faculty-info/undergrad/science/areas-of-study-availabil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ndbook.monash.edu/current/courses/S300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andbook.monash.edu/current/courses/E3007" TargetMode="External"/><Relationship Id="rId11" Type="http://schemas.openxmlformats.org/officeDocument/2006/relationships/hyperlink" Target="https://handbook.monash.edu/current/units/STA1010" TargetMode="External"/><Relationship Id="rId5" Type="http://schemas.openxmlformats.org/officeDocument/2006/relationships/hyperlink" Target="https://handbook.monash.edu/current/courses/B2023" TargetMode="External"/><Relationship Id="rId15" Type="http://schemas.openxmlformats.org/officeDocument/2006/relationships/hyperlink" Target="https://handbook.monash.edu/current/units/MTH1035" TargetMode="External"/><Relationship Id="rId10" Type="http://schemas.openxmlformats.org/officeDocument/2006/relationships/hyperlink" Target="https://handbook.monash.edu/current/units/SCI10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ndbook.monash.edu/current/units/MTH1010" TargetMode="External"/><Relationship Id="rId14" Type="http://schemas.openxmlformats.org/officeDocument/2006/relationships/hyperlink" Target="https://handbook.monash.edu/current/units/MTH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Kelly</dc:creator>
  <cp:keywords/>
  <dc:description/>
  <cp:lastModifiedBy>Kim Martin</cp:lastModifiedBy>
  <cp:revision>2</cp:revision>
  <dcterms:created xsi:type="dcterms:W3CDTF">2023-10-24T23:58:00Z</dcterms:created>
  <dcterms:modified xsi:type="dcterms:W3CDTF">2023-10-24T23:58:00Z</dcterms:modified>
</cp:coreProperties>
</file>