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2A" w:rsidRPr="004B66E4" w:rsidRDefault="00CC132A" w:rsidP="00CC132A">
      <w:pPr>
        <w:pStyle w:val="Header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OLE_LINK3"/>
      <w:bookmarkStart w:id="1" w:name="OLE_LINK5"/>
      <w:r w:rsidRPr="004B66E4">
        <w:rPr>
          <w:rFonts w:ascii="Times New Roman" w:hAnsi="Times New Roman" w:cs="Times New Roman"/>
          <w:i/>
          <w:sz w:val="20"/>
          <w:szCs w:val="20"/>
        </w:rPr>
        <w:t>Extended abstract for the IMECT meeting, Guadalupe, Extremadura, Spain, October 17-24th, 2019</w:t>
      </w:r>
    </w:p>
    <w:p w:rsidR="00CC132A" w:rsidRPr="004B66E4" w:rsidRDefault="00CC132A" w:rsidP="00CC132A">
      <w:pPr>
        <w:tabs>
          <w:tab w:val="left" w:pos="3680"/>
          <w:tab w:val="center" w:pos="41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C132A" w:rsidRPr="00CC132A" w:rsidRDefault="00CC132A" w:rsidP="00CC132A">
      <w:pPr>
        <w:tabs>
          <w:tab w:val="left" w:pos="3680"/>
          <w:tab w:val="center" w:pos="41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1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When Life got Hard: An Environmental Driver for Metazoan Biomineralization</w:t>
      </w:r>
    </w:p>
    <w:p w:rsidR="00CC132A" w:rsidRDefault="00CC132A" w:rsidP="00CC132A">
      <w:pPr>
        <w:tabs>
          <w:tab w:val="left" w:pos="3680"/>
          <w:tab w:val="center" w:pos="41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C132A" w:rsidRDefault="00CC132A" w:rsidP="00CC13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Cs w:val="20"/>
        </w:rPr>
      </w:pPr>
      <w:bookmarkStart w:id="2" w:name="OLE_LINK23"/>
      <w:bookmarkStart w:id="3" w:name="OLE_LINK24"/>
      <w:bookmarkEnd w:id="0"/>
      <w:bookmarkEnd w:id="1"/>
      <w:r w:rsidRPr="00F70BB6">
        <w:rPr>
          <w:rFonts w:ascii="Times New Roman" w:hAnsi="Times New Roman" w:cs="Times New Roman"/>
          <w:bCs/>
          <w:color w:val="000000" w:themeColor="text1"/>
          <w:szCs w:val="20"/>
        </w:rPr>
        <w:t>Alan J. Kaufman</w:t>
      </w:r>
      <w:r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1</w:t>
      </w:r>
      <w:r w:rsidRPr="00F70BB6">
        <w:rPr>
          <w:rFonts w:ascii="Times New Roman" w:hAnsi="Times New Roman" w:cs="Times New Roman"/>
          <w:bCs/>
          <w:color w:val="000000" w:themeColor="text1"/>
          <w:szCs w:val="20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Les Kriesfeld</w:t>
      </w:r>
      <w:r w:rsidRPr="00CC132A"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2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, Patricia Vickers-Rich</w:t>
      </w:r>
      <w:r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2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, and Guy Narbonne</w:t>
      </w:r>
      <w:r w:rsidRPr="00CC132A"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3</w:t>
      </w:r>
    </w:p>
    <w:p w:rsidR="00CC132A" w:rsidRDefault="00CC132A" w:rsidP="00CC13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Cs w:val="20"/>
        </w:rPr>
      </w:pPr>
    </w:p>
    <w:p w:rsidR="00CC132A" w:rsidRDefault="00CC132A" w:rsidP="00CC13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66E4">
        <w:rPr>
          <w:rFonts w:ascii="Times New Roman" w:hAnsi="Times New Roman" w:cs="Times New Roman"/>
          <w:color w:val="000000" w:themeColor="text1"/>
          <w:sz w:val="20"/>
          <w:szCs w:val="20"/>
        </w:rPr>
        <w:t>Department of Geology and Earth System Science Interdisciplinary Center, University of Maryland, College Park, MD 20742, USA</w:t>
      </w:r>
    </w:p>
    <w:p w:rsidR="00CC132A" w:rsidRDefault="00CC132A" w:rsidP="00CC13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32A">
        <w:rPr>
          <w:rFonts w:ascii="Times New Roman" w:hAnsi="Times New Roman" w:cs="Times New Roman"/>
          <w:color w:val="000000" w:themeColor="text1"/>
          <w:sz w:val="20"/>
          <w:szCs w:val="20"/>
        </w:rPr>
        <w:t>Department of Earth, Atmosphere, and Environment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Monash University, Melbourne, Victoria </w:t>
      </w:r>
      <w:r w:rsidRPr="005138E7">
        <w:rPr>
          <w:rFonts w:ascii="Times New Roman" w:hAnsi="Times New Roman" w:cs="Times New Roman"/>
        </w:rPr>
        <w:t>3800 Australia</w:t>
      </w:r>
    </w:p>
    <w:p w:rsidR="00CC132A" w:rsidRPr="00CC132A" w:rsidRDefault="00CC132A" w:rsidP="0020300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132A">
        <w:rPr>
          <w:rFonts w:ascii="Times New Roman" w:hAnsi="Times New Roman" w:cs="Times New Roman"/>
        </w:rPr>
        <w:t>Department of Geological Science and Engineering, Queens University, Kingston, Ontario K7L 3N6 Canada</w:t>
      </w:r>
      <w:bookmarkEnd w:id="2"/>
      <w:bookmarkEnd w:id="3"/>
    </w:p>
    <w:p w:rsidR="00CC132A" w:rsidRDefault="00CC132A" w:rsidP="00CC13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66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Author for correspondence: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kaufman@umd.edu</w:t>
      </w:r>
    </w:p>
    <w:p w:rsidR="00CC132A" w:rsidRDefault="00CC132A" w:rsidP="00CC132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</w:p>
    <w:p w:rsidR="009D562C" w:rsidRDefault="00E479D7" w:rsidP="00DA20F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E479D7">
        <w:rPr>
          <w:rFonts w:ascii="Times New Roman" w:hAnsi="Times New Roman" w:cs="Times New Roman"/>
          <w:bCs/>
        </w:rPr>
        <w:t>Given the template-directed mineralization of their funnel-in-funnel carbonate shells</w:t>
      </w:r>
      <w:r w:rsidR="00DE3FD8">
        <w:rPr>
          <w:rFonts w:ascii="Times New Roman" w:hAnsi="Times New Roman" w:cs="Times New Roman"/>
          <w:bCs/>
        </w:rPr>
        <w:t xml:space="preserve"> (</w:t>
      </w:r>
      <w:r w:rsidR="00DE3FD8" w:rsidRPr="007E572F">
        <w:rPr>
          <w:rFonts w:ascii="Times New Roman" w:hAnsi="Times New Roman" w:cs="Times New Roman"/>
          <w:bCs/>
        </w:rPr>
        <w:t>Grant, 1990)</w:t>
      </w:r>
      <w:r w:rsidR="00ED73DF">
        <w:rPr>
          <w:rFonts w:ascii="Times New Roman" w:hAnsi="Times New Roman" w:cs="Times New Roman"/>
          <w:bCs/>
        </w:rPr>
        <w:t xml:space="preserve">, the terminal Ediacaran fossil </w:t>
      </w:r>
      <w:r w:rsidRPr="00E479D7">
        <w:rPr>
          <w:rFonts w:ascii="Times New Roman" w:hAnsi="Times New Roman" w:cs="Times New Roman"/>
          <w:bCs/>
          <w:i/>
          <w:iCs/>
        </w:rPr>
        <w:t>Cloudina</w:t>
      </w:r>
      <w:r w:rsidRPr="00E479D7">
        <w:rPr>
          <w:rFonts w:ascii="Times New Roman" w:hAnsi="Times New Roman" w:cs="Times New Roman"/>
          <w:bCs/>
        </w:rPr>
        <w:t xml:space="preserve"> </w:t>
      </w:r>
      <w:r w:rsidR="00ED73DF">
        <w:rPr>
          <w:rFonts w:ascii="Times New Roman" w:hAnsi="Times New Roman" w:cs="Times New Roman"/>
          <w:bCs/>
        </w:rPr>
        <w:t xml:space="preserve">may represent the </w:t>
      </w:r>
      <w:r w:rsidRPr="00E479D7">
        <w:rPr>
          <w:rFonts w:ascii="Times New Roman" w:hAnsi="Times New Roman" w:cs="Times New Roman"/>
          <w:bCs/>
        </w:rPr>
        <w:t>earliest complex multicellular metazoan</w:t>
      </w:r>
      <w:r w:rsidR="00ED73DF">
        <w:rPr>
          <w:rFonts w:ascii="Times New Roman" w:hAnsi="Times New Roman" w:cs="Times New Roman"/>
          <w:bCs/>
        </w:rPr>
        <w:t>.  I</w:t>
      </w:r>
      <w:r w:rsidR="008178A6">
        <w:rPr>
          <w:rFonts w:ascii="Times New Roman" w:hAnsi="Times New Roman" w:cs="Times New Roman"/>
          <w:bCs/>
        </w:rPr>
        <w:t xml:space="preserve">t </w:t>
      </w:r>
      <w:r w:rsidR="00ED73DF">
        <w:rPr>
          <w:rFonts w:ascii="Times New Roman" w:hAnsi="Times New Roman" w:cs="Times New Roman"/>
          <w:bCs/>
        </w:rPr>
        <w:t xml:space="preserve">remains uncertain, however, </w:t>
      </w:r>
      <w:r w:rsidR="008178A6">
        <w:rPr>
          <w:rFonts w:ascii="Times New Roman" w:hAnsi="Times New Roman" w:cs="Times New Roman"/>
          <w:bCs/>
        </w:rPr>
        <w:t xml:space="preserve">what drove these </w:t>
      </w:r>
      <w:r w:rsidR="00DE3FD8">
        <w:rPr>
          <w:rFonts w:ascii="Times New Roman" w:hAnsi="Times New Roman" w:cs="Times New Roman"/>
          <w:bCs/>
        </w:rPr>
        <w:t xml:space="preserve">early </w:t>
      </w:r>
      <w:r w:rsidR="008178A6">
        <w:rPr>
          <w:rFonts w:ascii="Times New Roman" w:hAnsi="Times New Roman" w:cs="Times New Roman"/>
          <w:bCs/>
        </w:rPr>
        <w:t xml:space="preserve">animals to </w:t>
      </w:r>
      <w:r w:rsidR="004C5FC8">
        <w:rPr>
          <w:rFonts w:ascii="Times New Roman" w:hAnsi="Times New Roman" w:cs="Times New Roman"/>
          <w:bCs/>
        </w:rPr>
        <w:t xml:space="preserve">first </w:t>
      </w:r>
      <w:r w:rsidR="008178A6">
        <w:rPr>
          <w:rFonts w:ascii="Times New Roman" w:hAnsi="Times New Roman" w:cs="Times New Roman"/>
          <w:bCs/>
        </w:rPr>
        <w:t>biomineralize</w:t>
      </w:r>
      <w:r w:rsidR="00ED73DF">
        <w:rPr>
          <w:rFonts w:ascii="Times New Roman" w:hAnsi="Times New Roman" w:cs="Times New Roman"/>
          <w:bCs/>
        </w:rPr>
        <w:t>. H</w:t>
      </w:r>
      <w:r w:rsidR="008178A6">
        <w:rPr>
          <w:rFonts w:ascii="Times New Roman" w:hAnsi="Times New Roman" w:cs="Times New Roman"/>
          <w:bCs/>
        </w:rPr>
        <w:t xml:space="preserve">ypotheses include: 1) protection from predation, 2) structural support, and 3) calcium regulation. </w:t>
      </w:r>
      <w:r w:rsidRPr="00E479D7">
        <w:rPr>
          <w:rFonts w:ascii="Times New Roman" w:hAnsi="Times New Roman" w:cs="Times New Roman"/>
          <w:bCs/>
        </w:rPr>
        <w:t xml:space="preserve">The tubular fossil has a global distribution, but is best known from </w:t>
      </w:r>
      <w:r w:rsidR="00DE3FD8">
        <w:rPr>
          <w:rFonts w:ascii="Times New Roman" w:hAnsi="Times New Roman" w:cs="Times New Roman"/>
          <w:bCs/>
        </w:rPr>
        <w:t xml:space="preserve">terminal Ediacaran strata of </w:t>
      </w:r>
      <w:r w:rsidRPr="00E479D7">
        <w:rPr>
          <w:rFonts w:ascii="Times New Roman" w:hAnsi="Times New Roman" w:cs="Times New Roman"/>
          <w:bCs/>
        </w:rPr>
        <w:t>th</w:t>
      </w:r>
      <w:r w:rsidR="006A01AD">
        <w:rPr>
          <w:rFonts w:ascii="Times New Roman" w:hAnsi="Times New Roman" w:cs="Times New Roman"/>
          <w:bCs/>
        </w:rPr>
        <w:t>e Nama Group in southern Namibia</w:t>
      </w:r>
      <w:r w:rsidR="00ED73DF">
        <w:rPr>
          <w:rFonts w:ascii="Times New Roman" w:hAnsi="Times New Roman" w:cs="Times New Roman"/>
          <w:bCs/>
        </w:rPr>
        <w:t xml:space="preserve"> – </w:t>
      </w:r>
      <w:r w:rsidR="006A01AD">
        <w:rPr>
          <w:rFonts w:ascii="Times New Roman" w:hAnsi="Times New Roman" w:cs="Times New Roman"/>
          <w:bCs/>
        </w:rPr>
        <w:t>wi</w:t>
      </w:r>
      <w:r w:rsidR="00B65AA0">
        <w:rPr>
          <w:rFonts w:ascii="Times New Roman" w:hAnsi="Times New Roman" w:cs="Times New Roman"/>
          <w:bCs/>
        </w:rPr>
        <w:t>th a first appearance in the Mar</w:t>
      </w:r>
      <w:r w:rsidR="006A01AD">
        <w:rPr>
          <w:rFonts w:ascii="Times New Roman" w:hAnsi="Times New Roman" w:cs="Times New Roman"/>
          <w:bCs/>
        </w:rPr>
        <w:t>a Member (</w:t>
      </w:r>
      <w:r w:rsidR="006A01AD" w:rsidRPr="007E572F">
        <w:rPr>
          <w:rFonts w:ascii="Times New Roman" w:hAnsi="Times New Roman" w:cs="Times New Roman"/>
          <w:bCs/>
        </w:rPr>
        <w:t>Germs, 1968)</w:t>
      </w:r>
      <w:r w:rsidR="004C5FC8">
        <w:rPr>
          <w:rFonts w:ascii="Times New Roman" w:hAnsi="Times New Roman" w:cs="Times New Roman"/>
          <w:bCs/>
        </w:rPr>
        <w:t>,</w:t>
      </w:r>
      <w:r w:rsidR="00ED73DF">
        <w:rPr>
          <w:rFonts w:ascii="Times New Roman" w:hAnsi="Times New Roman" w:cs="Times New Roman"/>
          <w:bCs/>
        </w:rPr>
        <w:t xml:space="preserve"> </w:t>
      </w:r>
      <w:r w:rsidR="006A01AD">
        <w:rPr>
          <w:rFonts w:ascii="Times New Roman" w:hAnsi="Times New Roman" w:cs="Times New Roman"/>
          <w:bCs/>
        </w:rPr>
        <w:t xml:space="preserve">although the fossil has not </w:t>
      </w:r>
      <w:r w:rsidR="00ED73DF">
        <w:rPr>
          <w:rFonts w:ascii="Times New Roman" w:hAnsi="Times New Roman" w:cs="Times New Roman"/>
          <w:bCs/>
        </w:rPr>
        <w:t xml:space="preserve">until recently </w:t>
      </w:r>
      <w:r w:rsidR="006A01AD">
        <w:rPr>
          <w:rFonts w:ascii="Times New Roman" w:hAnsi="Times New Roman" w:cs="Times New Roman"/>
          <w:bCs/>
        </w:rPr>
        <w:t>been relocated at this level since its discovery over 50 years ago</w:t>
      </w:r>
      <w:r w:rsidRPr="00E479D7">
        <w:rPr>
          <w:rFonts w:ascii="Times New Roman" w:hAnsi="Times New Roman" w:cs="Times New Roman"/>
          <w:bCs/>
        </w:rPr>
        <w:t>.</w:t>
      </w:r>
      <w:r w:rsidR="006A01AD">
        <w:rPr>
          <w:rFonts w:ascii="Times New Roman" w:hAnsi="Times New Roman" w:cs="Times New Roman"/>
          <w:bCs/>
        </w:rPr>
        <w:t xml:space="preserve"> </w:t>
      </w:r>
      <w:r w:rsidRPr="00E479D7">
        <w:rPr>
          <w:rFonts w:ascii="Times New Roman" w:hAnsi="Times New Roman" w:cs="Times New Roman"/>
          <w:bCs/>
        </w:rPr>
        <w:t xml:space="preserve">We </w:t>
      </w:r>
      <w:r w:rsidR="005609D4">
        <w:rPr>
          <w:rFonts w:ascii="Times New Roman" w:hAnsi="Times New Roman" w:cs="Times New Roman"/>
          <w:bCs/>
        </w:rPr>
        <w:t xml:space="preserve">found </w:t>
      </w:r>
      <w:r w:rsidRPr="00E479D7">
        <w:rPr>
          <w:rFonts w:ascii="Times New Roman" w:hAnsi="Times New Roman" w:cs="Times New Roman"/>
          <w:bCs/>
        </w:rPr>
        <w:t xml:space="preserve">the </w:t>
      </w:r>
      <w:r w:rsidR="00ED73DF">
        <w:rPr>
          <w:rFonts w:ascii="Times New Roman" w:hAnsi="Times New Roman" w:cs="Times New Roman"/>
          <w:bCs/>
        </w:rPr>
        <w:t xml:space="preserve">tubular </w:t>
      </w:r>
      <w:r w:rsidRPr="00E479D7">
        <w:rPr>
          <w:rFonts w:ascii="Times New Roman" w:hAnsi="Times New Roman" w:cs="Times New Roman"/>
          <w:bCs/>
        </w:rPr>
        <w:t xml:space="preserve">fossil in a newly-recognized unconformity-bounded sequence </w:t>
      </w:r>
      <w:r w:rsidR="00DE3FD8" w:rsidRPr="00ED73DF">
        <w:rPr>
          <w:rFonts w:ascii="Times New Roman" w:hAnsi="Times New Roman" w:cs="Times New Roman"/>
          <w:b/>
          <w:bCs/>
          <w:i/>
        </w:rPr>
        <w:t xml:space="preserve">immediately </w:t>
      </w:r>
      <w:r w:rsidRPr="00ED73DF">
        <w:rPr>
          <w:rFonts w:ascii="Times New Roman" w:hAnsi="Times New Roman" w:cs="Times New Roman"/>
          <w:b/>
          <w:bCs/>
          <w:i/>
        </w:rPr>
        <w:t>above</w:t>
      </w:r>
      <w:r w:rsidRPr="00E479D7">
        <w:rPr>
          <w:rFonts w:ascii="Times New Roman" w:hAnsi="Times New Roman" w:cs="Times New Roman"/>
          <w:bCs/>
        </w:rPr>
        <w:t xml:space="preserve"> the Mara </w:t>
      </w:r>
      <w:r w:rsidR="005609D4">
        <w:rPr>
          <w:rFonts w:ascii="Times New Roman" w:hAnsi="Times New Roman" w:cs="Times New Roman"/>
          <w:bCs/>
        </w:rPr>
        <w:t>Member (</w:t>
      </w:r>
      <w:r w:rsidR="00CC132A">
        <w:rPr>
          <w:rFonts w:ascii="Times New Roman" w:hAnsi="Times New Roman" w:cs="Times New Roman"/>
          <w:bCs/>
        </w:rPr>
        <w:t xml:space="preserve">and below </w:t>
      </w:r>
      <w:r w:rsidR="008178A6">
        <w:rPr>
          <w:rFonts w:ascii="Times New Roman" w:hAnsi="Times New Roman" w:cs="Times New Roman"/>
          <w:bCs/>
        </w:rPr>
        <w:t>Kliphoek</w:t>
      </w:r>
      <w:r w:rsidR="00CC132A">
        <w:rPr>
          <w:rFonts w:ascii="Times New Roman" w:hAnsi="Times New Roman" w:cs="Times New Roman"/>
          <w:bCs/>
        </w:rPr>
        <w:t xml:space="preserve"> </w:t>
      </w:r>
      <w:r w:rsidR="005609D4">
        <w:rPr>
          <w:rFonts w:ascii="Times New Roman" w:hAnsi="Times New Roman" w:cs="Times New Roman"/>
          <w:bCs/>
        </w:rPr>
        <w:t>M</w:t>
      </w:r>
      <w:r w:rsidR="00CC132A">
        <w:rPr>
          <w:rFonts w:ascii="Times New Roman" w:hAnsi="Times New Roman" w:cs="Times New Roman"/>
          <w:bCs/>
        </w:rPr>
        <w:t>ember</w:t>
      </w:r>
      <w:r w:rsidR="009D562C">
        <w:rPr>
          <w:rFonts w:ascii="Times New Roman" w:hAnsi="Times New Roman" w:cs="Times New Roman"/>
          <w:bCs/>
        </w:rPr>
        <w:t xml:space="preserve"> </w:t>
      </w:r>
      <w:r w:rsidR="00BB300C">
        <w:rPr>
          <w:rFonts w:ascii="Times New Roman" w:hAnsi="Times New Roman" w:cs="Times New Roman"/>
          <w:bCs/>
        </w:rPr>
        <w:t xml:space="preserve">sandstones </w:t>
      </w:r>
      <w:r w:rsidR="009D562C">
        <w:rPr>
          <w:rFonts w:ascii="Times New Roman" w:hAnsi="Times New Roman" w:cs="Times New Roman"/>
          <w:bCs/>
        </w:rPr>
        <w:t xml:space="preserve">containing elements of the soft-bodied Ediacara biota, including </w:t>
      </w:r>
      <w:r w:rsidR="009D562C" w:rsidRPr="009D562C">
        <w:rPr>
          <w:rFonts w:ascii="Times New Roman" w:hAnsi="Times New Roman" w:cs="Times New Roman"/>
          <w:bCs/>
          <w:i/>
        </w:rPr>
        <w:t>Ernietta</w:t>
      </w:r>
      <w:r w:rsidR="009D562C">
        <w:rPr>
          <w:rFonts w:ascii="Times New Roman" w:hAnsi="Times New Roman" w:cs="Times New Roman"/>
          <w:bCs/>
        </w:rPr>
        <w:t xml:space="preserve"> and </w:t>
      </w:r>
      <w:r w:rsidR="009D562C" w:rsidRPr="009D562C">
        <w:rPr>
          <w:rFonts w:ascii="Times New Roman" w:hAnsi="Times New Roman" w:cs="Times New Roman"/>
          <w:bCs/>
          <w:i/>
        </w:rPr>
        <w:t>Pteridinium</w:t>
      </w:r>
      <w:r w:rsidR="005609D4">
        <w:rPr>
          <w:rFonts w:ascii="Times New Roman" w:hAnsi="Times New Roman" w:cs="Times New Roman"/>
          <w:bCs/>
        </w:rPr>
        <w:t xml:space="preserve">) </w:t>
      </w:r>
      <w:r w:rsidRPr="00E479D7">
        <w:rPr>
          <w:rFonts w:ascii="Times New Roman" w:hAnsi="Times New Roman" w:cs="Times New Roman"/>
          <w:bCs/>
        </w:rPr>
        <w:t xml:space="preserve">in three locations south of Aus. </w:t>
      </w:r>
      <w:r w:rsidR="00F70F4F">
        <w:rPr>
          <w:rFonts w:ascii="Times New Roman" w:hAnsi="Times New Roman" w:cs="Times New Roman"/>
          <w:bCs/>
        </w:rPr>
        <w:t xml:space="preserve">This limestone-dominated sequence is provisionally named the Pockenbank Member after the farm where the biomineralized fossil was re-discovered. </w:t>
      </w:r>
      <w:r w:rsidRPr="00E479D7">
        <w:rPr>
          <w:rFonts w:ascii="Times New Roman" w:hAnsi="Times New Roman" w:cs="Times New Roman"/>
          <w:bCs/>
          <w:i/>
          <w:iCs/>
        </w:rPr>
        <w:t>Cloudina</w:t>
      </w:r>
      <w:r w:rsidRPr="00E479D7">
        <w:rPr>
          <w:rFonts w:ascii="Times New Roman" w:hAnsi="Times New Roman" w:cs="Times New Roman"/>
          <w:bCs/>
        </w:rPr>
        <w:t xml:space="preserve"> </w:t>
      </w:r>
      <w:r w:rsidR="00DE3FD8">
        <w:rPr>
          <w:rFonts w:ascii="Times New Roman" w:hAnsi="Times New Roman" w:cs="Times New Roman"/>
          <w:bCs/>
        </w:rPr>
        <w:t xml:space="preserve">at this deep stratigraphic level </w:t>
      </w:r>
      <w:r w:rsidRPr="00E479D7">
        <w:rPr>
          <w:rFonts w:ascii="Times New Roman" w:hAnsi="Times New Roman" w:cs="Times New Roman"/>
          <w:bCs/>
        </w:rPr>
        <w:t xml:space="preserve">occurs as individual cones floating in a micritic matrix, as </w:t>
      </w:r>
      <w:r w:rsidR="009D562C">
        <w:rPr>
          <w:rFonts w:ascii="Times New Roman" w:hAnsi="Times New Roman" w:cs="Times New Roman"/>
          <w:bCs/>
        </w:rPr>
        <w:t xml:space="preserve">long </w:t>
      </w:r>
      <w:r w:rsidRPr="00E479D7">
        <w:rPr>
          <w:rFonts w:ascii="Times New Roman" w:hAnsi="Times New Roman" w:cs="Times New Roman"/>
          <w:bCs/>
        </w:rPr>
        <w:t xml:space="preserve">strings of stacked </w:t>
      </w:r>
      <w:r w:rsidR="009D562C">
        <w:rPr>
          <w:rFonts w:ascii="Times New Roman" w:hAnsi="Times New Roman" w:cs="Times New Roman"/>
          <w:bCs/>
        </w:rPr>
        <w:t>funnels</w:t>
      </w:r>
      <w:r w:rsidRPr="00E479D7">
        <w:rPr>
          <w:rFonts w:ascii="Times New Roman" w:hAnsi="Times New Roman" w:cs="Times New Roman"/>
          <w:bCs/>
        </w:rPr>
        <w:t xml:space="preserve"> on </w:t>
      </w:r>
      <w:r w:rsidR="00BB300C">
        <w:rPr>
          <w:rFonts w:ascii="Times New Roman" w:hAnsi="Times New Roman" w:cs="Times New Roman"/>
          <w:bCs/>
        </w:rPr>
        <w:t xml:space="preserve">microbial </w:t>
      </w:r>
      <w:r w:rsidRPr="00E479D7">
        <w:rPr>
          <w:rFonts w:ascii="Times New Roman" w:hAnsi="Times New Roman" w:cs="Times New Roman"/>
          <w:bCs/>
        </w:rPr>
        <w:t>bedding surfaces</w:t>
      </w:r>
      <w:r w:rsidR="009D562C">
        <w:rPr>
          <w:rFonts w:ascii="Times New Roman" w:hAnsi="Times New Roman" w:cs="Times New Roman"/>
          <w:bCs/>
        </w:rPr>
        <w:t xml:space="preserve"> (Fig. 1)</w:t>
      </w:r>
      <w:r w:rsidRPr="00E479D7">
        <w:rPr>
          <w:rFonts w:ascii="Times New Roman" w:hAnsi="Times New Roman" w:cs="Times New Roman"/>
          <w:bCs/>
        </w:rPr>
        <w:t>, and as lithified micro-reefs in intimate association with microbial mats.</w:t>
      </w:r>
    </w:p>
    <w:p w:rsidR="0011041F" w:rsidRDefault="0011041F" w:rsidP="00DA20F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DA20FC">
        <w:rPr>
          <w:rFonts w:ascii="Times New Roman" w:hAnsi="Times New Roman" w:cs="Times New Roman"/>
          <w:b/>
          <w:bCs/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8337</wp:posOffset>
            </wp:positionV>
            <wp:extent cx="2871470" cy="2551430"/>
            <wp:effectExtent l="0" t="0" r="508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ufman namibia cloudina_45132x39184 re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0FC" w:rsidRPr="00575688" w:rsidRDefault="009D562C" w:rsidP="003F6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20FC">
        <w:rPr>
          <w:rFonts w:ascii="Times New Roman" w:hAnsi="Times New Roman" w:cs="Times New Roman"/>
          <w:b/>
          <w:bCs/>
        </w:rPr>
        <w:t>Fig. 1.</w:t>
      </w:r>
      <w:r w:rsidRPr="00DA20FC">
        <w:rPr>
          <w:rFonts w:ascii="Times New Roman" w:hAnsi="Times New Roman" w:cs="Times New Roman"/>
          <w:bCs/>
        </w:rPr>
        <w:t xml:space="preserve"> </w:t>
      </w:r>
      <w:r w:rsidR="00F70F4F" w:rsidRPr="00DA20FC">
        <w:rPr>
          <w:rFonts w:ascii="Times New Roman" w:hAnsi="Times New Roman" w:cs="Times New Roman"/>
          <w:bCs/>
          <w:i/>
          <w:iCs/>
        </w:rPr>
        <w:t>Cloudina</w:t>
      </w:r>
      <w:r w:rsidR="00F70F4F" w:rsidRPr="00DA20FC">
        <w:rPr>
          <w:rFonts w:ascii="Times New Roman" w:hAnsi="Times New Roman" w:cs="Times New Roman"/>
          <w:bCs/>
        </w:rPr>
        <w:t xml:space="preserve"> preserved </w:t>
      </w:r>
      <w:r w:rsidR="0011041F" w:rsidRPr="00DA20FC">
        <w:rPr>
          <w:rFonts w:ascii="Times New Roman" w:hAnsi="Times New Roman" w:cs="Times New Roman"/>
          <w:bCs/>
        </w:rPr>
        <w:t xml:space="preserve">as long serpentine strings of funnel-in-funnel </w:t>
      </w:r>
      <w:r w:rsidR="0011041F">
        <w:rPr>
          <w:rFonts w:ascii="Times New Roman" w:hAnsi="Times New Roman" w:cs="Times New Roman"/>
          <w:bCs/>
        </w:rPr>
        <w:t xml:space="preserve">shells in microbialites mounds of the Pockenbank Member on Arasab Farm in southern Namibia south of Aus. </w:t>
      </w:r>
      <w:r w:rsidR="00DA20FC" w:rsidRPr="00DA20FC">
        <w:rPr>
          <w:rFonts w:ascii="Times New Roman" w:hAnsi="Times New Roman" w:cs="Times New Roman"/>
          <w:bCs/>
        </w:rPr>
        <w:t xml:space="preserve">This </w:t>
      </w:r>
      <w:r w:rsidR="00DE3FD8">
        <w:rPr>
          <w:rFonts w:ascii="Times New Roman" w:hAnsi="Times New Roman" w:cs="Times New Roman"/>
          <w:bCs/>
        </w:rPr>
        <w:t>preservational window – suggesting that the organism grew recumbently along the mat surface and thus did not require structural support for orientation in currents – is remarkably s</w:t>
      </w:r>
      <w:r w:rsidR="00DA20FC" w:rsidRPr="00DA20FC">
        <w:rPr>
          <w:rFonts w:ascii="Times New Roman" w:hAnsi="Times New Roman" w:cs="Times New Roman"/>
          <w:bCs/>
        </w:rPr>
        <w:t>imilar to</w:t>
      </w:r>
      <w:r w:rsidR="00575688">
        <w:rPr>
          <w:rFonts w:ascii="Times New Roman" w:hAnsi="Times New Roman" w:cs="Times New Roman"/>
          <w:bCs/>
        </w:rPr>
        <w:t xml:space="preserve"> th</w:t>
      </w:r>
      <w:r w:rsidR="00DE3FD8">
        <w:rPr>
          <w:rFonts w:ascii="Times New Roman" w:hAnsi="Times New Roman" w:cs="Times New Roman"/>
          <w:bCs/>
        </w:rPr>
        <w:t xml:space="preserve">at </w:t>
      </w:r>
      <w:r w:rsidR="00575688">
        <w:rPr>
          <w:rFonts w:ascii="Times New Roman" w:hAnsi="Times New Roman" w:cs="Times New Roman"/>
          <w:bCs/>
        </w:rPr>
        <w:t>of</w:t>
      </w:r>
      <w:r w:rsidR="00DA20FC" w:rsidRPr="00DA20FC">
        <w:rPr>
          <w:rFonts w:ascii="Times New Roman" w:hAnsi="Times New Roman" w:cs="Times New Roman"/>
          <w:bCs/>
        </w:rPr>
        <w:t xml:space="preserve"> </w:t>
      </w:r>
      <w:r w:rsidR="00DA20FC" w:rsidRPr="00DA20FC">
        <w:rPr>
          <w:rFonts w:ascii="Times New Roman" w:hAnsi="Times New Roman" w:cs="Times New Roman"/>
          <w:bCs/>
          <w:i/>
        </w:rPr>
        <w:t>Cloudina</w:t>
      </w:r>
      <w:r w:rsidR="00DA20FC" w:rsidRPr="00DA20FC">
        <w:rPr>
          <w:rFonts w:ascii="Times New Roman" w:hAnsi="Times New Roman" w:cs="Times New Roman"/>
          <w:bCs/>
        </w:rPr>
        <w:t xml:space="preserve"> in Ediacaran successions of Brazil (</w:t>
      </w:r>
      <w:r w:rsidR="00DA20FC" w:rsidRPr="007E572F">
        <w:rPr>
          <w:rFonts w:ascii="Times New Roman" w:hAnsi="Times New Roman" w:cs="Times New Roman"/>
          <w:bCs/>
        </w:rPr>
        <w:t>Becker-Kerber, 2017</w:t>
      </w:r>
      <w:r w:rsidR="00DA20FC" w:rsidRPr="00DA20FC">
        <w:rPr>
          <w:rFonts w:ascii="Times New Roman" w:hAnsi="Times New Roman" w:cs="Times New Roman"/>
          <w:bCs/>
        </w:rPr>
        <w:t>).</w:t>
      </w:r>
      <w:r w:rsidR="00575688">
        <w:rPr>
          <w:rFonts w:ascii="Times New Roman" w:hAnsi="Times New Roman" w:cs="Times New Roman"/>
          <w:bCs/>
        </w:rPr>
        <w:t xml:space="preserve"> In cross section</w:t>
      </w:r>
      <w:r w:rsidR="0035405F">
        <w:rPr>
          <w:rFonts w:ascii="Times New Roman" w:hAnsi="Times New Roman" w:cs="Times New Roman"/>
          <w:bCs/>
        </w:rPr>
        <w:t>s of the mounds</w:t>
      </w:r>
      <w:r w:rsidR="00575688">
        <w:rPr>
          <w:rFonts w:ascii="Times New Roman" w:hAnsi="Times New Roman" w:cs="Times New Roman"/>
          <w:bCs/>
        </w:rPr>
        <w:t xml:space="preserve">, it is clear that </w:t>
      </w:r>
      <w:r w:rsidR="00DA20FC" w:rsidRPr="00575688">
        <w:rPr>
          <w:rFonts w:ascii="Times New Roman" w:hAnsi="Times New Roman" w:cs="Times New Roman"/>
          <w:bCs/>
        </w:rPr>
        <w:t xml:space="preserve">that </w:t>
      </w:r>
      <w:r w:rsidR="0011041F">
        <w:rPr>
          <w:rFonts w:ascii="Times New Roman" w:hAnsi="Times New Roman" w:cs="Times New Roman"/>
          <w:bCs/>
        </w:rPr>
        <w:t xml:space="preserve">both </w:t>
      </w:r>
      <w:r w:rsidR="00DA20FC" w:rsidRPr="00575688">
        <w:rPr>
          <w:rFonts w:ascii="Times New Roman" w:hAnsi="Times New Roman" w:cs="Times New Roman"/>
          <w:bCs/>
        </w:rPr>
        <w:t xml:space="preserve">metazoans and microbes collaborated in </w:t>
      </w:r>
      <w:r w:rsidR="00DE3FD8">
        <w:rPr>
          <w:rFonts w:ascii="Times New Roman" w:hAnsi="Times New Roman" w:cs="Times New Roman"/>
          <w:bCs/>
        </w:rPr>
        <w:t xml:space="preserve">the construction of </w:t>
      </w:r>
      <w:r w:rsidR="00DA20FC" w:rsidRPr="00575688">
        <w:rPr>
          <w:rFonts w:ascii="Times New Roman" w:hAnsi="Times New Roman" w:cs="Times New Roman"/>
          <w:bCs/>
        </w:rPr>
        <w:t>reef</w:t>
      </w:r>
      <w:r w:rsidR="00DE3FD8">
        <w:rPr>
          <w:rFonts w:ascii="Times New Roman" w:hAnsi="Times New Roman" w:cs="Times New Roman"/>
          <w:bCs/>
        </w:rPr>
        <w:t>s</w:t>
      </w:r>
      <w:r w:rsidR="00DA20FC" w:rsidRPr="00575688">
        <w:rPr>
          <w:rFonts w:ascii="Times New Roman" w:hAnsi="Times New Roman" w:cs="Times New Roman"/>
          <w:bCs/>
        </w:rPr>
        <w:t xml:space="preserve"> </w:t>
      </w:r>
      <w:r w:rsidR="00575688">
        <w:rPr>
          <w:rFonts w:ascii="Times New Roman" w:hAnsi="Times New Roman" w:cs="Times New Roman"/>
          <w:bCs/>
        </w:rPr>
        <w:t>(</w:t>
      </w:r>
      <w:r w:rsidR="00575688" w:rsidRPr="00575688">
        <w:rPr>
          <w:rFonts w:ascii="Times New Roman" w:hAnsi="Times New Roman" w:cs="Times New Roman"/>
          <w:bCs/>
          <w:i/>
        </w:rPr>
        <w:t>contra</w:t>
      </w:r>
      <w:r w:rsidR="00575688">
        <w:rPr>
          <w:rFonts w:ascii="Times New Roman" w:hAnsi="Times New Roman" w:cs="Times New Roman"/>
          <w:bCs/>
        </w:rPr>
        <w:t xml:space="preserve"> </w:t>
      </w:r>
      <w:r w:rsidR="00575688" w:rsidRPr="007E572F">
        <w:rPr>
          <w:rFonts w:ascii="Times New Roman" w:hAnsi="Times New Roman" w:cs="Times New Roman"/>
          <w:bCs/>
        </w:rPr>
        <w:t>Mehra and Maloof, 2018</w:t>
      </w:r>
      <w:r w:rsidR="00575688">
        <w:rPr>
          <w:rFonts w:ascii="Times New Roman" w:hAnsi="Times New Roman" w:cs="Times New Roman"/>
          <w:bCs/>
        </w:rPr>
        <w:t>)</w:t>
      </w:r>
      <w:r w:rsidR="00DA20FC" w:rsidRPr="00575688">
        <w:rPr>
          <w:rFonts w:ascii="Times New Roman" w:hAnsi="Times New Roman" w:cs="Times New Roman"/>
          <w:bCs/>
        </w:rPr>
        <w:t>.</w:t>
      </w:r>
    </w:p>
    <w:p w:rsidR="0011041F" w:rsidRDefault="0011041F" w:rsidP="00CC132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986A09" w:rsidRDefault="00E479D7" w:rsidP="00CC132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E479D7">
        <w:rPr>
          <w:rFonts w:ascii="Times New Roman" w:hAnsi="Times New Roman" w:cs="Times New Roman"/>
          <w:bCs/>
        </w:rPr>
        <w:lastRenderedPageBreak/>
        <w:t xml:space="preserve">The occurrence of </w:t>
      </w:r>
      <w:r w:rsidRPr="00E479D7">
        <w:rPr>
          <w:rFonts w:ascii="Times New Roman" w:hAnsi="Times New Roman" w:cs="Times New Roman"/>
          <w:bCs/>
          <w:i/>
          <w:iCs/>
        </w:rPr>
        <w:t>Cloudina</w:t>
      </w:r>
      <w:r w:rsidRPr="00E479D7">
        <w:rPr>
          <w:rFonts w:ascii="Times New Roman" w:hAnsi="Times New Roman" w:cs="Times New Roman"/>
          <w:bCs/>
        </w:rPr>
        <w:t xml:space="preserve"> immediately above the </w:t>
      </w:r>
      <w:r w:rsidR="004B3558">
        <w:rPr>
          <w:rFonts w:ascii="Times New Roman" w:hAnsi="Times New Roman" w:cs="Times New Roman"/>
          <w:bCs/>
        </w:rPr>
        <w:t>dolomit</w:t>
      </w:r>
      <w:r w:rsidR="00030744">
        <w:rPr>
          <w:rFonts w:ascii="Times New Roman" w:hAnsi="Times New Roman" w:cs="Times New Roman"/>
          <w:bCs/>
        </w:rPr>
        <w:t>ic</w:t>
      </w:r>
      <w:r w:rsidR="004B3558">
        <w:rPr>
          <w:rFonts w:ascii="Times New Roman" w:hAnsi="Times New Roman" w:cs="Times New Roman"/>
          <w:bCs/>
        </w:rPr>
        <w:t xml:space="preserve"> </w:t>
      </w:r>
      <w:r w:rsidRPr="00E479D7">
        <w:rPr>
          <w:rFonts w:ascii="Times New Roman" w:hAnsi="Times New Roman" w:cs="Times New Roman"/>
          <w:bCs/>
        </w:rPr>
        <w:t xml:space="preserve">Mara Member is critical insofar as this unit preserves evidence for the greatest negative carbon isotope anomaly in Earth history – the Shuram Excursion – when Ediacaran oceans were broadly ventilated and oxic conditions likely prevailed in shallow marine environments </w:t>
      </w:r>
      <w:r w:rsidR="00986A09">
        <w:rPr>
          <w:rFonts w:ascii="Times New Roman" w:hAnsi="Times New Roman" w:cs="Times New Roman"/>
          <w:bCs/>
        </w:rPr>
        <w:t xml:space="preserve">near </w:t>
      </w:r>
      <w:r w:rsidRPr="00E479D7">
        <w:rPr>
          <w:rFonts w:ascii="Times New Roman" w:hAnsi="Times New Roman" w:cs="Times New Roman"/>
          <w:bCs/>
        </w:rPr>
        <w:t xml:space="preserve">the end of the </w:t>
      </w:r>
      <w:r w:rsidR="003F61DF">
        <w:rPr>
          <w:rFonts w:ascii="Times New Roman" w:hAnsi="Times New Roman" w:cs="Times New Roman"/>
          <w:bCs/>
        </w:rPr>
        <w:t>environmental perturbation</w:t>
      </w:r>
      <w:r w:rsidRPr="00E479D7">
        <w:rPr>
          <w:rFonts w:ascii="Times New Roman" w:hAnsi="Times New Roman" w:cs="Times New Roman"/>
          <w:bCs/>
        </w:rPr>
        <w:t>. Given the global distribution of the Shuram Excursion, its stratigraphically cohesive pattern of carbon</w:t>
      </w:r>
      <w:r w:rsidR="00943EA6">
        <w:rPr>
          <w:rFonts w:ascii="Times New Roman" w:hAnsi="Times New Roman" w:cs="Times New Roman"/>
          <w:bCs/>
        </w:rPr>
        <w:t>, sulfur, and strontium</w:t>
      </w:r>
      <w:r w:rsidRPr="00E479D7">
        <w:rPr>
          <w:rFonts w:ascii="Times New Roman" w:hAnsi="Times New Roman" w:cs="Times New Roman"/>
          <w:bCs/>
        </w:rPr>
        <w:t xml:space="preserve"> isotope change, and its preservation in a wide range of </w:t>
      </w:r>
      <w:r w:rsidR="00030744">
        <w:rPr>
          <w:rFonts w:ascii="Times New Roman" w:hAnsi="Times New Roman" w:cs="Times New Roman"/>
          <w:bCs/>
        </w:rPr>
        <w:t>depositional lithofacies</w:t>
      </w:r>
      <w:r w:rsidR="00575688">
        <w:rPr>
          <w:rFonts w:ascii="Times New Roman" w:hAnsi="Times New Roman" w:cs="Times New Roman"/>
          <w:bCs/>
        </w:rPr>
        <w:t xml:space="preserve"> (</w:t>
      </w:r>
      <w:r w:rsidR="00575688" w:rsidRPr="007E572F">
        <w:rPr>
          <w:rFonts w:ascii="Times New Roman" w:hAnsi="Times New Roman" w:cs="Times New Roman"/>
          <w:bCs/>
        </w:rPr>
        <w:t>Grotzinger et al., 2010</w:t>
      </w:r>
      <w:r w:rsidR="00575688">
        <w:rPr>
          <w:rFonts w:ascii="Times New Roman" w:hAnsi="Times New Roman" w:cs="Times New Roman"/>
          <w:bCs/>
        </w:rPr>
        <w:t>)</w:t>
      </w:r>
      <w:r w:rsidRPr="00E479D7">
        <w:rPr>
          <w:rFonts w:ascii="Times New Roman" w:hAnsi="Times New Roman" w:cs="Times New Roman"/>
          <w:bCs/>
        </w:rPr>
        <w:t xml:space="preserve">, the carbon isotope excursion may be understood in terms of the pulsed addition of </w:t>
      </w:r>
      <w:r w:rsidRPr="00E479D7">
        <w:rPr>
          <w:rFonts w:ascii="Times New Roman" w:hAnsi="Times New Roman" w:cs="Times New Roman"/>
          <w:bCs/>
          <w:vertAlign w:val="superscript"/>
        </w:rPr>
        <w:t>12</w:t>
      </w:r>
      <w:r w:rsidRPr="00E479D7">
        <w:rPr>
          <w:rFonts w:ascii="Times New Roman" w:hAnsi="Times New Roman" w:cs="Times New Roman"/>
          <w:bCs/>
        </w:rPr>
        <w:t>C-rich alkalinity to the oceans</w:t>
      </w:r>
      <w:r w:rsidR="008178A6">
        <w:rPr>
          <w:rFonts w:ascii="Times New Roman" w:hAnsi="Times New Roman" w:cs="Times New Roman"/>
          <w:bCs/>
        </w:rPr>
        <w:t xml:space="preserve"> (</w:t>
      </w:r>
      <w:r w:rsidR="008178A6" w:rsidRPr="007E572F">
        <w:rPr>
          <w:rFonts w:ascii="Times New Roman" w:hAnsi="Times New Roman" w:cs="Times New Roman"/>
          <w:bCs/>
        </w:rPr>
        <w:t>Kaufman</w:t>
      </w:r>
      <w:r w:rsidR="00575688" w:rsidRPr="007E572F">
        <w:rPr>
          <w:rFonts w:ascii="Times New Roman" w:hAnsi="Times New Roman" w:cs="Times New Roman"/>
          <w:bCs/>
        </w:rPr>
        <w:t xml:space="preserve"> et al., 2007; Cui et al., 2017</w:t>
      </w:r>
      <w:r w:rsidR="00575688">
        <w:rPr>
          <w:rFonts w:ascii="Times New Roman" w:hAnsi="Times New Roman" w:cs="Times New Roman"/>
          <w:bCs/>
        </w:rPr>
        <w:t>)</w:t>
      </w:r>
      <w:r w:rsidRPr="00E479D7">
        <w:rPr>
          <w:rFonts w:ascii="Times New Roman" w:hAnsi="Times New Roman" w:cs="Times New Roman"/>
          <w:bCs/>
        </w:rPr>
        <w:t>.</w:t>
      </w:r>
      <w:r w:rsidR="00986A09">
        <w:rPr>
          <w:rFonts w:ascii="Times New Roman" w:hAnsi="Times New Roman" w:cs="Times New Roman"/>
          <w:bCs/>
        </w:rPr>
        <w:t xml:space="preserve"> The duration of the </w:t>
      </w:r>
      <w:r w:rsidR="003E6894">
        <w:rPr>
          <w:rFonts w:ascii="Times New Roman" w:hAnsi="Times New Roman" w:cs="Times New Roman"/>
          <w:bCs/>
        </w:rPr>
        <w:t xml:space="preserve">carbon isotope event </w:t>
      </w:r>
      <w:r w:rsidR="00986A09">
        <w:rPr>
          <w:rFonts w:ascii="Times New Roman" w:hAnsi="Times New Roman" w:cs="Times New Roman"/>
          <w:bCs/>
        </w:rPr>
        <w:t xml:space="preserve">is poorly constrained, but the </w:t>
      </w:r>
      <w:r w:rsidR="00E437C7">
        <w:rPr>
          <w:rFonts w:ascii="Times New Roman" w:hAnsi="Times New Roman" w:cs="Times New Roman"/>
          <w:bCs/>
        </w:rPr>
        <w:t xml:space="preserve">sudden </w:t>
      </w:r>
      <w:r w:rsidR="00986A09">
        <w:rPr>
          <w:rFonts w:ascii="Times New Roman" w:hAnsi="Times New Roman" w:cs="Times New Roman"/>
          <w:bCs/>
        </w:rPr>
        <w:t xml:space="preserve">appearance of thick carbonate platforms worldwide </w:t>
      </w:r>
      <w:r w:rsidR="003E6894">
        <w:rPr>
          <w:rFonts w:ascii="Times New Roman" w:hAnsi="Times New Roman" w:cs="Times New Roman"/>
          <w:bCs/>
        </w:rPr>
        <w:t xml:space="preserve">(especially notable in siliciclastic-dominated successions) </w:t>
      </w:r>
      <w:r w:rsidR="00986A09">
        <w:rPr>
          <w:rFonts w:ascii="Times New Roman" w:hAnsi="Times New Roman" w:cs="Times New Roman"/>
          <w:bCs/>
        </w:rPr>
        <w:t xml:space="preserve">at this time supports the </w:t>
      </w:r>
      <w:r w:rsidR="00E437C7">
        <w:rPr>
          <w:rFonts w:ascii="Times New Roman" w:hAnsi="Times New Roman" w:cs="Times New Roman"/>
          <w:bCs/>
        </w:rPr>
        <w:t>view of a profound environmental shift</w:t>
      </w:r>
      <w:r w:rsidR="003E6894">
        <w:rPr>
          <w:rFonts w:ascii="Times New Roman" w:hAnsi="Times New Roman" w:cs="Times New Roman"/>
          <w:bCs/>
        </w:rPr>
        <w:t xml:space="preserve"> broadly coincident with the rise of animals.</w:t>
      </w:r>
    </w:p>
    <w:p w:rsidR="00986A09" w:rsidRDefault="00986A09" w:rsidP="00CC132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0F021B" w:rsidRDefault="00E479D7" w:rsidP="00BD637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E479D7">
        <w:rPr>
          <w:rFonts w:ascii="Times New Roman" w:hAnsi="Times New Roman" w:cs="Times New Roman"/>
          <w:bCs/>
        </w:rPr>
        <w:t>The driver of th</w:t>
      </w:r>
      <w:r w:rsidR="003F61DF">
        <w:rPr>
          <w:rFonts w:ascii="Times New Roman" w:hAnsi="Times New Roman" w:cs="Times New Roman"/>
          <w:bCs/>
        </w:rPr>
        <w:t>e Shuram Excursion</w:t>
      </w:r>
      <w:r w:rsidRPr="00E479D7">
        <w:rPr>
          <w:rFonts w:ascii="Times New Roman" w:hAnsi="Times New Roman" w:cs="Times New Roman"/>
          <w:bCs/>
        </w:rPr>
        <w:t xml:space="preserve"> and the onset of biomineralization is envisioned as tectonic in nature, and related to widespread Pan-African orogeny as East and West Gondwana were sutured</w:t>
      </w:r>
      <w:r w:rsidR="008178A6">
        <w:rPr>
          <w:rFonts w:ascii="Times New Roman" w:hAnsi="Times New Roman" w:cs="Times New Roman"/>
          <w:bCs/>
        </w:rPr>
        <w:t xml:space="preserve"> (</w:t>
      </w:r>
      <w:r w:rsidR="008178A6" w:rsidRPr="007E572F">
        <w:rPr>
          <w:rFonts w:ascii="Times New Roman" w:hAnsi="Times New Roman" w:cs="Times New Roman"/>
          <w:bCs/>
        </w:rPr>
        <w:t xml:space="preserve">Squire </w:t>
      </w:r>
      <w:r w:rsidR="00575688" w:rsidRPr="007E572F">
        <w:rPr>
          <w:rFonts w:ascii="Times New Roman" w:hAnsi="Times New Roman" w:cs="Times New Roman"/>
          <w:bCs/>
        </w:rPr>
        <w:t>et al., 2006</w:t>
      </w:r>
      <w:r w:rsidR="008178A6">
        <w:rPr>
          <w:rFonts w:ascii="Times New Roman" w:hAnsi="Times New Roman" w:cs="Times New Roman"/>
          <w:bCs/>
        </w:rPr>
        <w:t>)</w:t>
      </w:r>
      <w:r w:rsidRPr="00E479D7">
        <w:rPr>
          <w:rFonts w:ascii="Times New Roman" w:hAnsi="Times New Roman" w:cs="Times New Roman"/>
          <w:bCs/>
        </w:rPr>
        <w:t xml:space="preserve">. Erosion of uplifted Ediacaran terrains delivered thick piles of sediments to the oceans, as well as bio-limiting nutrients, especially N, P, and Fe, sulfate, and carbonate alkalinity </w:t>
      </w:r>
      <w:r w:rsidR="00BD637E">
        <w:rPr>
          <w:rFonts w:ascii="Times New Roman" w:hAnsi="Times New Roman" w:cs="Times New Roman"/>
          <w:bCs/>
        </w:rPr>
        <w:t>(as well as Ca</w:t>
      </w:r>
      <w:r w:rsidR="00BD637E" w:rsidRPr="00BD637E">
        <w:rPr>
          <w:rFonts w:ascii="Times New Roman" w:hAnsi="Times New Roman" w:cs="Times New Roman"/>
          <w:bCs/>
          <w:vertAlign w:val="superscript"/>
        </w:rPr>
        <w:t>2+</w:t>
      </w:r>
      <w:r w:rsidR="00BD637E">
        <w:rPr>
          <w:rFonts w:ascii="Times New Roman" w:hAnsi="Times New Roman" w:cs="Times New Roman"/>
          <w:bCs/>
        </w:rPr>
        <w:t>) released</w:t>
      </w:r>
      <w:r w:rsidRPr="00E479D7">
        <w:rPr>
          <w:rFonts w:ascii="Times New Roman" w:hAnsi="Times New Roman" w:cs="Times New Roman"/>
          <w:bCs/>
        </w:rPr>
        <w:t xml:space="preserve"> through silicate weathering. </w:t>
      </w:r>
      <w:r w:rsidR="003F61DF">
        <w:rPr>
          <w:rFonts w:ascii="Times New Roman" w:hAnsi="Times New Roman" w:cs="Times New Roman"/>
          <w:bCs/>
        </w:rPr>
        <w:t>Alternatively, t</w:t>
      </w:r>
      <w:r w:rsidRPr="00E479D7">
        <w:rPr>
          <w:rFonts w:ascii="Times New Roman" w:hAnsi="Times New Roman" w:cs="Times New Roman"/>
          <w:bCs/>
        </w:rPr>
        <w:t xml:space="preserve">he </w:t>
      </w:r>
      <w:r w:rsidRPr="00E479D7">
        <w:rPr>
          <w:rFonts w:ascii="Times New Roman" w:hAnsi="Times New Roman" w:cs="Times New Roman"/>
          <w:bCs/>
          <w:vertAlign w:val="superscript"/>
        </w:rPr>
        <w:t>12</w:t>
      </w:r>
      <w:r w:rsidRPr="00E479D7">
        <w:rPr>
          <w:rFonts w:ascii="Times New Roman" w:hAnsi="Times New Roman" w:cs="Times New Roman"/>
          <w:bCs/>
        </w:rPr>
        <w:t>C-rich alkalinity may have built up in anoxic seawater through microbial sulfate reduction promoted by the weathering flux of sulfate to the oceans and a vast reservoir of dissolved organic carbon</w:t>
      </w:r>
      <w:r w:rsidR="008913D1">
        <w:rPr>
          <w:rFonts w:ascii="Times New Roman" w:hAnsi="Times New Roman" w:cs="Times New Roman"/>
          <w:bCs/>
        </w:rPr>
        <w:t xml:space="preserve"> – </w:t>
      </w:r>
      <w:r w:rsidR="003F61DF">
        <w:rPr>
          <w:rFonts w:ascii="Times New Roman" w:hAnsi="Times New Roman" w:cs="Times New Roman"/>
          <w:bCs/>
        </w:rPr>
        <w:t>although it is the growth of the oceanic Ca</w:t>
      </w:r>
      <w:r w:rsidR="003F61DF" w:rsidRPr="003F61DF">
        <w:rPr>
          <w:rFonts w:ascii="Times New Roman" w:hAnsi="Times New Roman" w:cs="Times New Roman"/>
          <w:bCs/>
          <w:vertAlign w:val="superscript"/>
        </w:rPr>
        <w:t>2+</w:t>
      </w:r>
      <w:r w:rsidR="003F61DF">
        <w:rPr>
          <w:rFonts w:ascii="Times New Roman" w:hAnsi="Times New Roman" w:cs="Times New Roman"/>
          <w:bCs/>
        </w:rPr>
        <w:t xml:space="preserve"> reservoir that most likely promoted animal biomineralization. </w:t>
      </w:r>
      <w:r w:rsidR="00BD637E">
        <w:rPr>
          <w:rFonts w:ascii="Times New Roman" w:hAnsi="Times New Roman" w:cs="Times New Roman"/>
          <w:bCs/>
        </w:rPr>
        <w:t xml:space="preserve">Insofar as phosphate-based metabolism necessitates the exclusion of calcium from cells </w:t>
      </w:r>
      <w:r w:rsidR="000F021B">
        <w:rPr>
          <w:rFonts w:ascii="Times New Roman" w:hAnsi="Times New Roman" w:cs="Times New Roman"/>
          <w:bCs/>
        </w:rPr>
        <w:t xml:space="preserve">(most-likely in order to thwart the formation of </w:t>
      </w:r>
      <w:r w:rsidR="00BD637E">
        <w:rPr>
          <w:rFonts w:ascii="Times New Roman" w:hAnsi="Times New Roman" w:cs="Times New Roman"/>
          <w:bCs/>
        </w:rPr>
        <w:t>highly insoluble of calcium phosphate</w:t>
      </w:r>
      <w:r w:rsidR="000F021B">
        <w:rPr>
          <w:rFonts w:ascii="Times New Roman" w:hAnsi="Times New Roman" w:cs="Times New Roman"/>
          <w:bCs/>
        </w:rPr>
        <w:t>)</w:t>
      </w:r>
      <w:r w:rsidR="00BD637E">
        <w:rPr>
          <w:rFonts w:ascii="Times New Roman" w:hAnsi="Times New Roman" w:cs="Times New Roman"/>
          <w:bCs/>
        </w:rPr>
        <w:t>, Ca</w:t>
      </w:r>
      <w:r w:rsidR="00BD637E" w:rsidRPr="009C7287">
        <w:rPr>
          <w:rFonts w:ascii="Times New Roman" w:hAnsi="Times New Roman" w:cs="Times New Roman"/>
          <w:bCs/>
          <w:vertAlign w:val="superscript"/>
        </w:rPr>
        <w:t>2+</w:t>
      </w:r>
      <w:r w:rsidR="00BD637E">
        <w:rPr>
          <w:rFonts w:ascii="Times New Roman" w:hAnsi="Times New Roman" w:cs="Times New Roman"/>
          <w:bCs/>
        </w:rPr>
        <w:t xml:space="preserve"> concentrations </w:t>
      </w:r>
      <w:r w:rsidR="009C7287">
        <w:rPr>
          <w:rFonts w:ascii="Times New Roman" w:hAnsi="Times New Roman" w:cs="Times New Roman"/>
          <w:bCs/>
        </w:rPr>
        <w:t xml:space="preserve">are highly regulated in animals. Cellular levels of the </w:t>
      </w:r>
      <w:r w:rsidR="000F021B">
        <w:rPr>
          <w:rFonts w:ascii="Times New Roman" w:hAnsi="Times New Roman" w:cs="Times New Roman"/>
          <w:bCs/>
        </w:rPr>
        <w:t>cat</w:t>
      </w:r>
      <w:r w:rsidR="009C7287">
        <w:rPr>
          <w:rFonts w:ascii="Times New Roman" w:hAnsi="Times New Roman" w:cs="Times New Roman"/>
          <w:bCs/>
        </w:rPr>
        <w:t xml:space="preserve">ion are &lt;1000x </w:t>
      </w:r>
      <w:r w:rsidR="0035405F">
        <w:rPr>
          <w:rFonts w:ascii="Times New Roman" w:hAnsi="Times New Roman" w:cs="Times New Roman"/>
          <w:bCs/>
        </w:rPr>
        <w:t xml:space="preserve">of </w:t>
      </w:r>
      <w:r w:rsidR="009C7287">
        <w:rPr>
          <w:rFonts w:ascii="Times New Roman" w:hAnsi="Times New Roman" w:cs="Times New Roman"/>
          <w:bCs/>
        </w:rPr>
        <w:t>th</w:t>
      </w:r>
      <w:r w:rsidR="0035405F">
        <w:rPr>
          <w:rFonts w:ascii="Times New Roman" w:hAnsi="Times New Roman" w:cs="Times New Roman"/>
          <w:bCs/>
        </w:rPr>
        <w:t>ose</w:t>
      </w:r>
      <w:r w:rsidR="009C7287">
        <w:rPr>
          <w:rFonts w:ascii="Times New Roman" w:hAnsi="Times New Roman" w:cs="Times New Roman"/>
          <w:bCs/>
        </w:rPr>
        <w:t xml:space="preserve"> in the extracellular fluid (i.e. blood), and the excess Ca</w:t>
      </w:r>
      <w:r w:rsidR="009C7287" w:rsidRPr="009C7287">
        <w:rPr>
          <w:rFonts w:ascii="Times New Roman" w:hAnsi="Times New Roman" w:cs="Times New Roman"/>
          <w:bCs/>
          <w:vertAlign w:val="superscript"/>
        </w:rPr>
        <w:t>2+</w:t>
      </w:r>
      <w:r w:rsidR="009C7287">
        <w:rPr>
          <w:rFonts w:ascii="Times New Roman" w:hAnsi="Times New Roman" w:cs="Times New Roman"/>
          <w:bCs/>
        </w:rPr>
        <w:t xml:space="preserve"> is either excreted to the environment or stored in bones and shells. All cells have active transport mechanisms to remove Ca</w:t>
      </w:r>
      <w:r w:rsidR="009C7287" w:rsidRPr="00CC499E">
        <w:rPr>
          <w:rFonts w:ascii="Times New Roman" w:hAnsi="Times New Roman" w:cs="Times New Roman"/>
          <w:bCs/>
          <w:vertAlign w:val="superscript"/>
        </w:rPr>
        <w:t>2+</w:t>
      </w:r>
      <w:r w:rsidR="009C7287">
        <w:rPr>
          <w:rFonts w:ascii="Times New Roman" w:hAnsi="Times New Roman" w:cs="Times New Roman"/>
          <w:bCs/>
        </w:rPr>
        <w:t xml:space="preserve"> and import </w:t>
      </w:r>
      <w:r w:rsidR="000F021B">
        <w:rPr>
          <w:rFonts w:ascii="Times New Roman" w:hAnsi="Times New Roman" w:cs="Times New Roman"/>
          <w:bCs/>
        </w:rPr>
        <w:t xml:space="preserve">phosphate and </w:t>
      </w:r>
      <w:r w:rsidR="009C7287">
        <w:rPr>
          <w:rFonts w:ascii="Times New Roman" w:hAnsi="Times New Roman" w:cs="Times New Roman"/>
          <w:bCs/>
        </w:rPr>
        <w:t>magnesium</w:t>
      </w:r>
      <w:r w:rsidR="00CC499E">
        <w:rPr>
          <w:rFonts w:ascii="Times New Roman" w:hAnsi="Times New Roman" w:cs="Times New Roman"/>
          <w:bCs/>
        </w:rPr>
        <w:t xml:space="preserve"> in order to regulate important biological functions, including metabolism, protein confirmation, and signaling.</w:t>
      </w:r>
      <w:r w:rsidR="0035405F">
        <w:rPr>
          <w:rFonts w:ascii="Times New Roman" w:hAnsi="Times New Roman" w:cs="Times New Roman"/>
          <w:bCs/>
        </w:rPr>
        <w:t xml:space="preserve"> </w:t>
      </w:r>
      <w:r w:rsidR="00A9475E">
        <w:rPr>
          <w:rFonts w:ascii="Times New Roman" w:hAnsi="Times New Roman" w:cs="Times New Roman"/>
          <w:bCs/>
        </w:rPr>
        <w:t>In particular, locomotion through muscular contraction requires constant oscillations in the concentration of Ca</w:t>
      </w:r>
      <w:r w:rsidR="00A9475E" w:rsidRPr="00A9475E">
        <w:rPr>
          <w:rFonts w:ascii="Times New Roman" w:hAnsi="Times New Roman" w:cs="Times New Roman"/>
          <w:bCs/>
          <w:vertAlign w:val="superscript"/>
        </w:rPr>
        <w:t>2+</w:t>
      </w:r>
      <w:r w:rsidR="00A9475E">
        <w:rPr>
          <w:rFonts w:ascii="Times New Roman" w:hAnsi="Times New Roman" w:cs="Times New Roman"/>
          <w:bCs/>
        </w:rPr>
        <w:t xml:space="preserve"> within the cells, so storage </w:t>
      </w:r>
      <w:r w:rsidR="00030744">
        <w:rPr>
          <w:rFonts w:ascii="Times New Roman" w:hAnsi="Times New Roman" w:cs="Times New Roman"/>
          <w:bCs/>
        </w:rPr>
        <w:t xml:space="preserve">of the element </w:t>
      </w:r>
      <w:r w:rsidR="00A9475E">
        <w:rPr>
          <w:rFonts w:ascii="Times New Roman" w:hAnsi="Times New Roman" w:cs="Times New Roman"/>
          <w:bCs/>
        </w:rPr>
        <w:t>as inert minerals outside of animal cells provides a distinct advantage, and is hypothesized to have precipitated from a sudden increase in dissolved oceanic calcium abundance during the Shuram Excursion.</w:t>
      </w:r>
    </w:p>
    <w:p w:rsidR="000F021B" w:rsidRDefault="000F021B" w:rsidP="00BD637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6C1FEA" w:rsidRDefault="0035405F" w:rsidP="00947E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Elemental maps of </w:t>
      </w:r>
      <w:r w:rsidRPr="004B3558">
        <w:rPr>
          <w:rFonts w:ascii="Times New Roman" w:hAnsi="Times New Roman" w:cs="Times New Roman"/>
          <w:bCs/>
          <w:i/>
        </w:rPr>
        <w:t>Cloudina</w:t>
      </w:r>
      <w:r>
        <w:rPr>
          <w:rFonts w:ascii="Times New Roman" w:hAnsi="Times New Roman" w:cs="Times New Roman"/>
          <w:bCs/>
        </w:rPr>
        <w:t xml:space="preserve"> </w:t>
      </w:r>
      <w:r w:rsidR="000F021B">
        <w:rPr>
          <w:rFonts w:ascii="Times New Roman" w:hAnsi="Times New Roman" w:cs="Times New Roman"/>
          <w:bCs/>
        </w:rPr>
        <w:t xml:space="preserve">in polished sections of </w:t>
      </w:r>
      <w:r>
        <w:rPr>
          <w:rFonts w:ascii="Times New Roman" w:hAnsi="Times New Roman" w:cs="Times New Roman"/>
          <w:bCs/>
        </w:rPr>
        <w:t xml:space="preserve">the Pockenbank Member support the view that the shells were composed of a mixture of </w:t>
      </w:r>
      <w:r w:rsidR="000F021B">
        <w:rPr>
          <w:rFonts w:ascii="Times New Roman" w:hAnsi="Times New Roman" w:cs="Times New Roman"/>
          <w:bCs/>
        </w:rPr>
        <w:t>apatite</w:t>
      </w:r>
      <w:r w:rsidR="004B3558">
        <w:rPr>
          <w:rFonts w:ascii="Times New Roman" w:hAnsi="Times New Roman" w:cs="Times New Roman"/>
          <w:bCs/>
        </w:rPr>
        <w:t xml:space="preserve"> and </w:t>
      </w:r>
      <w:r>
        <w:rPr>
          <w:rFonts w:ascii="Times New Roman" w:hAnsi="Times New Roman" w:cs="Times New Roman"/>
          <w:bCs/>
        </w:rPr>
        <w:t>low Mg-calcite</w:t>
      </w:r>
      <w:r w:rsidR="000F021B">
        <w:rPr>
          <w:rFonts w:ascii="Times New Roman" w:hAnsi="Times New Roman" w:cs="Times New Roman"/>
          <w:bCs/>
        </w:rPr>
        <w:t>.</w:t>
      </w:r>
      <w:r w:rsidR="00E964E1">
        <w:rPr>
          <w:rFonts w:ascii="Times New Roman" w:hAnsi="Times New Roman" w:cs="Times New Roman"/>
          <w:bCs/>
        </w:rPr>
        <w:t xml:space="preserve"> </w:t>
      </w:r>
      <w:r w:rsidR="00947E2E" w:rsidRPr="00E479D7">
        <w:rPr>
          <w:rFonts w:ascii="Times New Roman" w:hAnsi="Times New Roman" w:cs="Times New Roman"/>
          <w:bCs/>
        </w:rPr>
        <w:t>Our regional chemostratigraphic analysis documents the final recovery from the Shuram Excursion within the newly-</w:t>
      </w:r>
      <w:r w:rsidR="00947E2E" w:rsidRPr="00E479D7">
        <w:rPr>
          <w:rFonts w:ascii="Times New Roman" w:hAnsi="Times New Roman" w:cs="Times New Roman"/>
          <w:bCs/>
        </w:rPr>
        <w:lastRenderedPageBreak/>
        <w:t xml:space="preserve">described sequence </w:t>
      </w:r>
      <w:r w:rsidR="006C1FEA">
        <w:rPr>
          <w:rFonts w:ascii="Times New Roman" w:hAnsi="Times New Roman" w:cs="Times New Roman"/>
          <w:bCs/>
        </w:rPr>
        <w:t>(Fig. 2)</w:t>
      </w:r>
      <w:r w:rsidR="00030744">
        <w:rPr>
          <w:rFonts w:ascii="Times New Roman" w:hAnsi="Times New Roman" w:cs="Times New Roman"/>
          <w:bCs/>
        </w:rPr>
        <w:t xml:space="preserve">. The negative </w:t>
      </w:r>
      <w:r w:rsidR="00030744" w:rsidRPr="00030744">
        <w:rPr>
          <w:rFonts w:ascii="Symbol" w:hAnsi="Symbol" w:cs="Times New Roman"/>
          <w:bCs/>
        </w:rPr>
        <w:t></w:t>
      </w:r>
      <w:r w:rsidR="00030744" w:rsidRPr="00030744">
        <w:rPr>
          <w:rFonts w:ascii="Times New Roman" w:hAnsi="Times New Roman" w:cs="Times New Roman"/>
          <w:bCs/>
          <w:vertAlign w:val="superscript"/>
        </w:rPr>
        <w:t>13</w:t>
      </w:r>
      <w:r w:rsidR="00030744">
        <w:rPr>
          <w:rFonts w:ascii="Times New Roman" w:hAnsi="Times New Roman" w:cs="Times New Roman"/>
          <w:bCs/>
        </w:rPr>
        <w:t xml:space="preserve">C compositions of Pockenbank carbonates suggests that seawater was still dominated by the flux of </w:t>
      </w:r>
      <w:r w:rsidR="00030744" w:rsidRPr="00E479D7">
        <w:rPr>
          <w:rFonts w:ascii="Times New Roman" w:hAnsi="Times New Roman" w:cs="Times New Roman"/>
          <w:bCs/>
          <w:vertAlign w:val="superscript"/>
        </w:rPr>
        <w:t>12</w:t>
      </w:r>
      <w:r w:rsidR="00030744" w:rsidRPr="00E479D7">
        <w:rPr>
          <w:rFonts w:ascii="Times New Roman" w:hAnsi="Times New Roman" w:cs="Times New Roman"/>
          <w:bCs/>
        </w:rPr>
        <w:t>C-rich alkalinity</w:t>
      </w:r>
      <w:r w:rsidR="00030744">
        <w:rPr>
          <w:rFonts w:ascii="Times New Roman" w:hAnsi="Times New Roman" w:cs="Times New Roman"/>
          <w:bCs/>
        </w:rPr>
        <w:t xml:space="preserve">, but the overall trend suggests that </w:t>
      </w:r>
      <w:r w:rsidR="00947E2E" w:rsidRPr="00E479D7">
        <w:rPr>
          <w:rFonts w:ascii="Times New Roman" w:hAnsi="Times New Roman" w:cs="Times New Roman"/>
          <w:bCs/>
        </w:rPr>
        <w:t xml:space="preserve">shallow seawater </w:t>
      </w:r>
      <w:r w:rsidR="00030744">
        <w:rPr>
          <w:rFonts w:ascii="Times New Roman" w:hAnsi="Times New Roman" w:cs="Times New Roman"/>
          <w:bCs/>
        </w:rPr>
        <w:t xml:space="preserve">was becoming increasingly </w:t>
      </w:r>
      <w:r w:rsidR="00947E2E" w:rsidRPr="00E479D7">
        <w:rPr>
          <w:rFonts w:ascii="Times New Roman" w:hAnsi="Times New Roman" w:cs="Times New Roman"/>
          <w:bCs/>
        </w:rPr>
        <w:t>oxidiz</w:t>
      </w:r>
      <w:r w:rsidR="00030744">
        <w:rPr>
          <w:rFonts w:ascii="Times New Roman" w:hAnsi="Times New Roman" w:cs="Times New Roman"/>
          <w:bCs/>
        </w:rPr>
        <w:t>ed</w:t>
      </w:r>
      <w:r w:rsidR="00947E2E" w:rsidRPr="00E479D7">
        <w:rPr>
          <w:rFonts w:ascii="Times New Roman" w:hAnsi="Times New Roman" w:cs="Times New Roman"/>
          <w:bCs/>
        </w:rPr>
        <w:t xml:space="preserve"> in this interval. </w:t>
      </w:r>
    </w:p>
    <w:p w:rsidR="006C1FEA" w:rsidRDefault="0004134F" w:rsidP="0004134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4732</wp:posOffset>
            </wp:positionV>
            <wp:extent cx="2713154" cy="4675239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odora carbon isotope_3June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154" cy="467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FEA" w:rsidRDefault="006C1FEA" w:rsidP="006C1F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C1FEA">
        <w:rPr>
          <w:rFonts w:ascii="Times New Roman" w:hAnsi="Times New Roman" w:cs="Times New Roman"/>
          <w:b/>
          <w:bCs/>
        </w:rPr>
        <w:t>Fig. 2.</w:t>
      </w:r>
      <w:r>
        <w:rPr>
          <w:rFonts w:ascii="Times New Roman" w:hAnsi="Times New Roman" w:cs="Times New Roman"/>
          <w:bCs/>
        </w:rPr>
        <w:t xml:space="preserve"> Carbon isotope stratigraphy of the lower Nama Group at Farm Arasab, including the Mara, Pockenbank, Aar, and Mooifontein members revealing a strong negative to positive </w:t>
      </w:r>
      <w:r w:rsidRPr="006C1FEA">
        <w:rPr>
          <w:rFonts w:ascii="Symbol" w:hAnsi="Symbol" w:cs="Times New Roman"/>
          <w:bCs/>
        </w:rPr>
        <w:t></w:t>
      </w:r>
      <w:r w:rsidRPr="006C1FEA">
        <w:rPr>
          <w:rFonts w:ascii="Times New Roman" w:hAnsi="Times New Roman" w:cs="Times New Roman"/>
          <w:bCs/>
          <w:vertAlign w:val="superscript"/>
        </w:rPr>
        <w:t>13</w:t>
      </w:r>
      <w:r>
        <w:rPr>
          <w:rFonts w:ascii="Times New Roman" w:hAnsi="Times New Roman" w:cs="Times New Roman"/>
          <w:bCs/>
        </w:rPr>
        <w:t xml:space="preserve">C shift through the strata.  The FAD of </w:t>
      </w:r>
      <w:r w:rsidRPr="006C1FEA">
        <w:rPr>
          <w:rFonts w:ascii="Times New Roman" w:hAnsi="Times New Roman" w:cs="Times New Roman"/>
          <w:bCs/>
          <w:i/>
        </w:rPr>
        <w:t>Cloudina</w:t>
      </w:r>
      <w:r>
        <w:rPr>
          <w:rFonts w:ascii="Times New Roman" w:hAnsi="Times New Roman" w:cs="Times New Roman"/>
          <w:bCs/>
        </w:rPr>
        <w:t xml:space="preserve"> occurs in the limestone-dominated Pockenbank Member, which preserves the end of the negative Shuram Excursion.</w:t>
      </w:r>
    </w:p>
    <w:p w:rsidR="006C1FEA" w:rsidRDefault="006C1FEA" w:rsidP="00947E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:rsidR="005609D4" w:rsidRDefault="006C1FEA" w:rsidP="00947E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E479D7">
        <w:rPr>
          <w:rFonts w:ascii="Times New Roman" w:hAnsi="Times New Roman" w:cs="Times New Roman"/>
          <w:bCs/>
        </w:rPr>
        <w:t>The sudden appearance of</w:t>
      </w:r>
      <w:r>
        <w:rPr>
          <w:rFonts w:ascii="Times New Roman" w:hAnsi="Times New Roman" w:cs="Times New Roman"/>
          <w:bCs/>
        </w:rPr>
        <w:t xml:space="preserve"> </w:t>
      </w:r>
      <w:r w:rsidR="00947E2E" w:rsidRPr="00E479D7">
        <w:rPr>
          <w:rFonts w:ascii="Times New Roman" w:hAnsi="Times New Roman" w:cs="Times New Roman"/>
          <w:bCs/>
        </w:rPr>
        <w:t xml:space="preserve">biomineralized metazoans </w:t>
      </w:r>
      <w:r w:rsidR="00947E2E">
        <w:rPr>
          <w:rFonts w:ascii="Times New Roman" w:hAnsi="Times New Roman" w:cs="Times New Roman"/>
          <w:bCs/>
        </w:rPr>
        <w:t xml:space="preserve">in limestone facies of the Pockenbank </w:t>
      </w:r>
      <w:bookmarkStart w:id="4" w:name="_GoBack"/>
      <w:bookmarkEnd w:id="4"/>
      <w:r w:rsidR="00947E2E">
        <w:rPr>
          <w:rFonts w:ascii="Times New Roman" w:hAnsi="Times New Roman" w:cs="Times New Roman"/>
          <w:bCs/>
        </w:rPr>
        <w:t xml:space="preserve">Member </w:t>
      </w:r>
      <w:r w:rsidR="00947E2E" w:rsidRPr="00E479D7">
        <w:rPr>
          <w:rFonts w:ascii="Times New Roman" w:hAnsi="Times New Roman" w:cs="Times New Roman"/>
          <w:bCs/>
        </w:rPr>
        <w:t xml:space="preserve">thus appears to reflect a rapid change </w:t>
      </w:r>
      <w:r w:rsidR="00947E2E">
        <w:rPr>
          <w:rFonts w:ascii="Times New Roman" w:hAnsi="Times New Roman" w:cs="Times New Roman"/>
          <w:bCs/>
        </w:rPr>
        <w:t xml:space="preserve">of </w:t>
      </w:r>
      <w:r w:rsidR="00947E2E" w:rsidRPr="00E479D7">
        <w:rPr>
          <w:rFonts w:ascii="Times New Roman" w:hAnsi="Times New Roman" w:cs="Times New Roman"/>
          <w:bCs/>
        </w:rPr>
        <w:t>redox state</w:t>
      </w:r>
      <w:r w:rsidR="00947E2E">
        <w:rPr>
          <w:rFonts w:ascii="Times New Roman" w:hAnsi="Times New Roman" w:cs="Times New Roman"/>
          <w:bCs/>
        </w:rPr>
        <w:t>, calcium concentration, and alkalinity of the ocean</w:t>
      </w:r>
      <w:r w:rsidR="00947E2E" w:rsidRPr="00E479D7">
        <w:rPr>
          <w:rFonts w:ascii="Times New Roman" w:hAnsi="Times New Roman" w:cs="Times New Roman"/>
          <w:bCs/>
        </w:rPr>
        <w:t>.</w:t>
      </w:r>
      <w:r w:rsidR="00947E2E">
        <w:rPr>
          <w:rFonts w:ascii="Times New Roman" w:hAnsi="Times New Roman" w:cs="Times New Roman"/>
          <w:bCs/>
        </w:rPr>
        <w:t xml:space="preserve"> In sum, th</w:t>
      </w:r>
      <w:r w:rsidR="00E964E1">
        <w:rPr>
          <w:rFonts w:ascii="Times New Roman" w:hAnsi="Times New Roman" w:cs="Times New Roman"/>
          <w:bCs/>
        </w:rPr>
        <w:t xml:space="preserve">e coupling of a major biological innovation with the end of a profound carbon isotope excursion supports the view that the Shuram was a </w:t>
      </w:r>
      <w:r w:rsidR="00947E2E">
        <w:rPr>
          <w:rFonts w:ascii="Times New Roman" w:hAnsi="Times New Roman" w:cs="Times New Roman"/>
          <w:bCs/>
        </w:rPr>
        <w:t xml:space="preserve">tectonic and </w:t>
      </w:r>
      <w:r w:rsidR="00E964E1">
        <w:rPr>
          <w:rFonts w:ascii="Times New Roman" w:hAnsi="Times New Roman" w:cs="Times New Roman"/>
          <w:bCs/>
        </w:rPr>
        <w:t>oceanographic phenomenon</w:t>
      </w:r>
      <w:r w:rsidR="00947E2E">
        <w:rPr>
          <w:rFonts w:ascii="Times New Roman" w:hAnsi="Times New Roman" w:cs="Times New Roman"/>
          <w:bCs/>
        </w:rPr>
        <w:t xml:space="preserve"> – as opposed to a global diagenetic conspiracy</w:t>
      </w:r>
      <w:r w:rsidR="00E964E1">
        <w:rPr>
          <w:rFonts w:ascii="Times New Roman" w:hAnsi="Times New Roman" w:cs="Times New Roman"/>
          <w:bCs/>
        </w:rPr>
        <w:t>.</w:t>
      </w:r>
      <w:r w:rsidR="00947E2E">
        <w:rPr>
          <w:rFonts w:ascii="Times New Roman" w:hAnsi="Times New Roman" w:cs="Times New Roman"/>
          <w:bCs/>
        </w:rPr>
        <w:t xml:space="preserve"> The temporal concordance of these profound events as preserved in strata from southern Namibia may </w:t>
      </w:r>
      <w:r w:rsidR="00803369">
        <w:rPr>
          <w:rFonts w:ascii="Times New Roman" w:hAnsi="Times New Roman" w:cs="Times New Roman"/>
          <w:bCs/>
        </w:rPr>
        <w:t xml:space="preserve">thus </w:t>
      </w:r>
      <w:r w:rsidR="00947E2E">
        <w:rPr>
          <w:rFonts w:ascii="Times New Roman" w:hAnsi="Times New Roman" w:cs="Times New Roman"/>
          <w:bCs/>
        </w:rPr>
        <w:t xml:space="preserve">be considered as </w:t>
      </w:r>
      <w:r w:rsidR="00803369">
        <w:rPr>
          <w:rFonts w:ascii="Times New Roman" w:hAnsi="Times New Roman" w:cs="Times New Roman"/>
          <w:bCs/>
        </w:rPr>
        <w:t xml:space="preserve">exceptional geological </w:t>
      </w:r>
      <w:r w:rsidR="00947E2E">
        <w:rPr>
          <w:rFonts w:ascii="Times New Roman" w:hAnsi="Times New Roman" w:cs="Times New Roman"/>
          <w:bCs/>
        </w:rPr>
        <w:t xml:space="preserve">markers </w:t>
      </w:r>
      <w:r w:rsidR="00803369">
        <w:rPr>
          <w:rFonts w:ascii="Times New Roman" w:hAnsi="Times New Roman" w:cs="Times New Roman"/>
          <w:bCs/>
        </w:rPr>
        <w:t xml:space="preserve">for </w:t>
      </w:r>
      <w:r w:rsidR="00947E2E">
        <w:rPr>
          <w:rFonts w:ascii="Times New Roman" w:hAnsi="Times New Roman" w:cs="Times New Roman"/>
          <w:bCs/>
        </w:rPr>
        <w:t>the base of the</w:t>
      </w:r>
      <w:r w:rsidR="00803369">
        <w:rPr>
          <w:rFonts w:ascii="Times New Roman" w:hAnsi="Times New Roman" w:cs="Times New Roman"/>
          <w:bCs/>
        </w:rPr>
        <w:t xml:space="preserve"> Terminal Ediacaran System (</w:t>
      </w:r>
      <w:r w:rsidR="00803369" w:rsidRPr="007E572F">
        <w:rPr>
          <w:rFonts w:ascii="Times New Roman" w:hAnsi="Times New Roman" w:cs="Times New Roman"/>
          <w:bCs/>
        </w:rPr>
        <w:t xml:space="preserve">Xiao </w:t>
      </w:r>
      <w:r w:rsidR="007E572F" w:rsidRPr="007E572F">
        <w:rPr>
          <w:rFonts w:ascii="Times New Roman" w:hAnsi="Times New Roman" w:cs="Times New Roman"/>
          <w:bCs/>
        </w:rPr>
        <w:t>et al., 2016</w:t>
      </w:r>
      <w:r w:rsidR="00803369">
        <w:rPr>
          <w:rFonts w:ascii="Times New Roman" w:hAnsi="Times New Roman" w:cs="Times New Roman"/>
          <w:bCs/>
        </w:rPr>
        <w:t>).</w:t>
      </w:r>
      <w:r w:rsidR="00947E2E">
        <w:rPr>
          <w:rFonts w:ascii="Times New Roman" w:hAnsi="Times New Roman" w:cs="Times New Roman"/>
          <w:bCs/>
        </w:rPr>
        <w:t xml:space="preserve"> </w:t>
      </w:r>
    </w:p>
    <w:p w:rsidR="005609D4" w:rsidRDefault="005609D4">
      <w:pPr>
        <w:rPr>
          <w:rFonts w:ascii="Times New Roman" w:hAnsi="Times New Roman" w:cs="Times New Roman"/>
          <w:bCs/>
        </w:rPr>
      </w:pPr>
    </w:p>
    <w:p w:rsidR="007E572F" w:rsidRPr="00455DA7" w:rsidRDefault="007E572F" w:rsidP="007E572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5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7E572F" w:rsidRPr="007E572F" w:rsidRDefault="007E572F" w:rsidP="007E572F">
      <w:pPr>
        <w:rPr>
          <w:rFonts w:ascii="Times New Roman" w:hAnsi="Times New Roman" w:cs="Times New Roman"/>
          <w:bCs/>
        </w:rPr>
      </w:pPr>
      <w:r w:rsidRPr="007E572F">
        <w:rPr>
          <w:rFonts w:ascii="Times New Roman" w:hAnsi="Times New Roman" w:cs="Times New Roman"/>
          <w:bCs/>
        </w:rPr>
        <w:t>Becker-Kerber, 2017</w:t>
      </w:r>
    </w:p>
    <w:p w:rsidR="007E572F" w:rsidRDefault="007E572F" w:rsidP="007E572F">
      <w:pPr>
        <w:rPr>
          <w:rFonts w:ascii="Times New Roman" w:hAnsi="Times New Roman" w:cs="Times New Roman"/>
          <w:bCs/>
        </w:rPr>
      </w:pPr>
      <w:r w:rsidRPr="006C1FEA">
        <w:rPr>
          <w:rFonts w:ascii="Times New Roman" w:hAnsi="Times New Roman" w:cs="Times New Roman"/>
          <w:bCs/>
        </w:rPr>
        <w:t>Cui et al., 2017</w:t>
      </w:r>
    </w:p>
    <w:p w:rsidR="007E572F" w:rsidRDefault="007E572F" w:rsidP="007E572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Germs 1968</w:t>
      </w:r>
    </w:p>
    <w:p w:rsidR="006C1FEA" w:rsidRDefault="006C1FE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Grant 1990</w:t>
      </w:r>
    </w:p>
    <w:p w:rsidR="007E572F" w:rsidRPr="006C1FEA" w:rsidRDefault="007E572F" w:rsidP="007E572F">
      <w:pPr>
        <w:rPr>
          <w:rFonts w:ascii="Times New Roman" w:hAnsi="Times New Roman" w:cs="Times New Roman"/>
          <w:bCs/>
        </w:rPr>
      </w:pPr>
      <w:r w:rsidRPr="006C1FEA">
        <w:rPr>
          <w:rFonts w:ascii="Times New Roman" w:hAnsi="Times New Roman" w:cs="Times New Roman"/>
          <w:bCs/>
        </w:rPr>
        <w:t>Grotzinger et al., 2010</w:t>
      </w:r>
    </w:p>
    <w:p w:rsidR="007E572F" w:rsidRPr="006C1FEA" w:rsidRDefault="007E572F" w:rsidP="007E572F">
      <w:pPr>
        <w:rPr>
          <w:rFonts w:ascii="Times New Roman" w:hAnsi="Times New Roman" w:cs="Times New Roman"/>
          <w:bCs/>
        </w:rPr>
      </w:pPr>
      <w:r w:rsidRPr="006C1FEA">
        <w:rPr>
          <w:rFonts w:ascii="Times New Roman" w:hAnsi="Times New Roman" w:cs="Times New Roman"/>
          <w:bCs/>
        </w:rPr>
        <w:t>Kaufman et al., 2007</w:t>
      </w:r>
    </w:p>
    <w:p w:rsidR="007E572F" w:rsidRDefault="007E572F" w:rsidP="007E572F">
      <w:pPr>
        <w:rPr>
          <w:rFonts w:ascii="Times New Roman" w:hAnsi="Times New Roman" w:cs="Times New Roman"/>
          <w:bCs/>
        </w:rPr>
      </w:pPr>
      <w:r w:rsidRPr="007E572F">
        <w:rPr>
          <w:rFonts w:ascii="Times New Roman" w:hAnsi="Times New Roman" w:cs="Times New Roman"/>
          <w:bCs/>
        </w:rPr>
        <w:t>Mehra and Maloof, 2018</w:t>
      </w:r>
    </w:p>
    <w:p w:rsidR="006C1FEA" w:rsidRDefault="006C1FE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Squire et al., 2006</w:t>
      </w:r>
    </w:p>
    <w:p w:rsidR="007E572F" w:rsidRDefault="006C1FE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Xiao</w:t>
      </w:r>
      <w:r w:rsidR="007E572F">
        <w:rPr>
          <w:rFonts w:ascii="Times New Roman" w:hAnsi="Times New Roman" w:cs="Times New Roman"/>
          <w:bCs/>
        </w:rPr>
        <w:t xml:space="preserve"> et al., 2016</w:t>
      </w:r>
    </w:p>
    <w:sectPr w:rsidR="007E572F" w:rsidSect="002B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C26"/>
    <w:multiLevelType w:val="hybridMultilevel"/>
    <w:tmpl w:val="E0FE22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79D7"/>
    <w:rsid w:val="00030744"/>
    <w:rsid w:val="0004134F"/>
    <w:rsid w:val="000672C7"/>
    <w:rsid w:val="000F021B"/>
    <w:rsid w:val="0011041F"/>
    <w:rsid w:val="001768C0"/>
    <w:rsid w:val="002B3745"/>
    <w:rsid w:val="0035405F"/>
    <w:rsid w:val="003E6894"/>
    <w:rsid w:val="003F61DF"/>
    <w:rsid w:val="004B3558"/>
    <w:rsid w:val="004C5FC8"/>
    <w:rsid w:val="00526F30"/>
    <w:rsid w:val="005609D4"/>
    <w:rsid w:val="00575688"/>
    <w:rsid w:val="006A01AD"/>
    <w:rsid w:val="006C1FEA"/>
    <w:rsid w:val="007E572F"/>
    <w:rsid w:val="00803369"/>
    <w:rsid w:val="008178A6"/>
    <w:rsid w:val="008913D1"/>
    <w:rsid w:val="00943EA6"/>
    <w:rsid w:val="00947E2E"/>
    <w:rsid w:val="00986A09"/>
    <w:rsid w:val="009C7287"/>
    <w:rsid w:val="009D562C"/>
    <w:rsid w:val="00A9475E"/>
    <w:rsid w:val="00B65AA0"/>
    <w:rsid w:val="00BB300C"/>
    <w:rsid w:val="00BD637E"/>
    <w:rsid w:val="00CC132A"/>
    <w:rsid w:val="00CC499E"/>
    <w:rsid w:val="00DA20FC"/>
    <w:rsid w:val="00DD51E6"/>
    <w:rsid w:val="00DE3FD8"/>
    <w:rsid w:val="00E437C7"/>
    <w:rsid w:val="00E479D7"/>
    <w:rsid w:val="00E964E1"/>
    <w:rsid w:val="00ED73DF"/>
    <w:rsid w:val="00F549D1"/>
    <w:rsid w:val="00F7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32A"/>
    <w:pPr>
      <w:ind w:left="720"/>
      <w:contextualSpacing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C132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C132A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CC13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Kaufman</dc:creator>
  <cp:keywords/>
  <dc:description/>
  <cp:lastModifiedBy>patrich</cp:lastModifiedBy>
  <cp:revision>13</cp:revision>
  <dcterms:created xsi:type="dcterms:W3CDTF">2019-05-31T11:54:00Z</dcterms:created>
  <dcterms:modified xsi:type="dcterms:W3CDTF">2019-06-06T02:06:00Z</dcterms:modified>
</cp:coreProperties>
</file>