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Constructive Institute Asia Pacific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Hub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2026 Constructive Journalism Fellowship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&lt;date&gt;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Letter of Support for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&lt;Applicant name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&gt; 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This letter confirms that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&lt;Employer/Organisation&gt;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 supports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&lt;Applicant name&gt;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application and proposed initiative/project for the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2026 Constructive Journalism  Fellowship. 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&lt;Employer/Organisation&gt;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nominates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Sponsor name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as project sponsor. If the applicant is successful, the Sponsor will be available to support and provide feedback to the Fellow as they develop their initiative/project.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Employer/Organisation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acknowledges that the Fellowship is a full-time commitment in Melbourne for the following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dates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20 April – 1 of May 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7 September - 18 September.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If successful,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 &lt;Applicant name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&gt; will be relieved of work requirements during this time.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Sincerely, 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Open Sans" w:cs="Open Sans" w:eastAsia="Open Sans" w:hAnsi="Open Sans"/>
          <w:sz w:val="24"/>
          <w:szCs w:val="24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yellow"/>
          <w:rtl w:val="0"/>
        </w:rPr>
        <w:t xml:space="preserve">&lt;Organisational Sponsor&gt;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color w:val="222222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Contact details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5731200" cy="1397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