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9B34C" w14:textId="77777777" w:rsidR="00955E3A" w:rsidRDefault="0041540A" w:rsidP="00681165">
      <w:pPr>
        <w:pStyle w:val="MUBodyText"/>
        <w:jc w:val="both"/>
      </w:pPr>
      <w:r w:rsidRPr="0041540A">
        <w:rPr>
          <w:noProof/>
          <w:lang w:val="en-GB" w:eastAsia="en-GB"/>
        </w:rPr>
        <w:drawing>
          <wp:anchor distT="0" distB="0" distL="114300" distR="114300" simplePos="0" relativeHeight="251667456" behindDoc="0" locked="0" layoutInCell="1" allowOverlap="1" wp14:anchorId="2B866CE6" wp14:editId="5F0C8932">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GB" w:eastAsia="en-GB"/>
        </w:rPr>
        <w:drawing>
          <wp:anchor distT="0" distB="0" distL="114300" distR="114300" simplePos="0" relativeHeight="251661055" behindDoc="0" locked="0" layoutInCell="1" allowOverlap="1" wp14:anchorId="7EF8349A" wp14:editId="1306F84D">
            <wp:simplePos x="0" y="0"/>
            <wp:positionH relativeFrom="margin">
              <wp:posOffset>-558165</wp:posOffset>
            </wp:positionH>
            <wp:positionV relativeFrom="paragraph">
              <wp:posOffset>-1065530</wp:posOffset>
            </wp:positionV>
            <wp:extent cx="7279200" cy="2545200"/>
            <wp:effectExtent l="0" t="0" r="0" b="7620"/>
            <wp:wrapNone/>
            <wp:docPr id="6" name="Picture 6" descr="S:\ADM-MPA-OMC\SMC-Requests\SMC Resources\TEMPLATES\Word template\Word template banners_v2\Ban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DM-MPA-OMC\SMC-Requests\SMC Resources\TEMPLATES\Word template\Word template banners_v2\Banner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A84021">
        <w:rPr>
          <w:noProof/>
          <w:lang w:val="en-GB" w:eastAsia="en-GB"/>
        </w:rPr>
        <w:drawing>
          <wp:anchor distT="0" distB="0" distL="114300" distR="114300" simplePos="0" relativeHeight="251660799" behindDoc="0" locked="0" layoutInCell="1" allowOverlap="1" wp14:anchorId="0D705B4C" wp14:editId="2A6B245D">
            <wp:simplePos x="0" y="0"/>
            <wp:positionH relativeFrom="margin">
              <wp:posOffset>-558165</wp:posOffset>
            </wp:positionH>
            <wp:positionV relativeFrom="paragraph">
              <wp:posOffset>-1065530</wp:posOffset>
            </wp:positionV>
            <wp:extent cx="7279200" cy="2545200"/>
            <wp:effectExtent l="0" t="0" r="0" b="7620"/>
            <wp:wrapNone/>
            <wp:docPr id="2" name="Picture 2" descr="S:\ADM-MPA-OMC\SMC-Requests\SMC Resources\TEMPLATES\Word template\Word template banners_v2\Bann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M-MPA-OMC\SMC-Requests\SMC Resources\TEMPLATES\Word template\Word template banners_v2\Banner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GB" w:eastAsia="en-GB"/>
        </w:rPr>
        <w:drawing>
          <wp:anchor distT="0" distB="0" distL="114300" distR="114300" simplePos="0" relativeHeight="251660542" behindDoc="0" locked="0" layoutInCell="1" allowOverlap="1" wp14:anchorId="6B5ECEA3" wp14:editId="2F2A2EAA">
            <wp:simplePos x="0" y="0"/>
            <wp:positionH relativeFrom="margin">
              <wp:posOffset>-556895</wp:posOffset>
            </wp:positionH>
            <wp:positionV relativeFrom="paragraph">
              <wp:posOffset>-1065530</wp:posOffset>
            </wp:positionV>
            <wp:extent cx="7279200" cy="2545200"/>
            <wp:effectExtent l="0" t="0" r="0" b="7620"/>
            <wp:wrapNone/>
            <wp:docPr id="5" name="Picture 5" descr="S:\ADM-MPA-OMC\SMC-Requests\SMC Resources\TEMPLATES\Word template\Word template banners_v2\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Word template\Word template banners_v2\Banner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GB" w:eastAsia="en-GB"/>
        </w:rPr>
        <w:drawing>
          <wp:anchor distT="0" distB="0" distL="114300" distR="114300" simplePos="0" relativeHeight="251659774" behindDoc="0" locked="0" layoutInCell="1" allowOverlap="1" wp14:anchorId="004CF585" wp14:editId="2373A6EA">
            <wp:simplePos x="0" y="0"/>
            <wp:positionH relativeFrom="margin">
              <wp:posOffset>-557530</wp:posOffset>
            </wp:positionH>
            <wp:positionV relativeFrom="paragraph">
              <wp:posOffset>-1067435</wp:posOffset>
            </wp:positionV>
            <wp:extent cx="7279200" cy="2545200"/>
            <wp:effectExtent l="0" t="0" r="0" b="7620"/>
            <wp:wrapNone/>
            <wp:docPr id="4" name="Picture 4" descr="S:\ADM-MPA-OMC\SMC-Requests\SMC Resources\TEMPLATES\Word template\Word template banners_v2\Banne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DM-MPA-OMC\SMC-Requests\SMC Resources\TEMPLATES\Word template\Word template banners_v2\Banner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03B61" w14:textId="77777777" w:rsidR="00955E3A" w:rsidRPr="00955E3A" w:rsidRDefault="00B61410" w:rsidP="00955E3A">
      <w:pPr>
        <w:rPr>
          <w:lang w:val="en-US"/>
        </w:rPr>
      </w:pPr>
      <w:r w:rsidRPr="00681165">
        <w:rPr>
          <w:noProof/>
          <w:lang w:val="en-GB" w:eastAsia="en-GB"/>
        </w:rPr>
        <mc:AlternateContent>
          <mc:Choice Requires="wps">
            <w:drawing>
              <wp:anchor distT="45720" distB="45720" distL="114300" distR="114300" simplePos="0" relativeHeight="251661312" behindDoc="0" locked="0" layoutInCell="1" allowOverlap="1" wp14:anchorId="26D7304F" wp14:editId="28650BA3">
                <wp:simplePos x="0" y="0"/>
                <wp:positionH relativeFrom="column">
                  <wp:posOffset>-125730</wp:posOffset>
                </wp:positionH>
                <wp:positionV relativeFrom="paragraph">
                  <wp:posOffset>89535</wp:posOffset>
                </wp:positionV>
                <wp:extent cx="5509260" cy="10744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074420"/>
                        </a:xfrm>
                        <a:prstGeom prst="rect">
                          <a:avLst/>
                        </a:prstGeom>
                        <a:noFill/>
                        <a:ln w="9525">
                          <a:noFill/>
                          <a:miter lim="800000"/>
                          <a:headEnd/>
                          <a:tailEnd/>
                        </a:ln>
                      </wps:spPr>
                      <wps:txbx>
                        <w:txbxContent>
                          <w:p w14:paraId="6043759B" w14:textId="77777777" w:rsidR="00155087" w:rsidRPr="00155087" w:rsidRDefault="00155087" w:rsidP="00155087">
                            <w:pPr>
                              <w:spacing w:after="200"/>
                              <w:rPr>
                                <w:rFonts w:cs="Times New Roman"/>
                                <w:b/>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MONASH</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UNIVERSITY</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PERFORMING ARTS CENTRE</w:t>
                            </w:r>
                          </w:p>
                          <w:p w14:paraId="17039513" w14:textId="77777777" w:rsidR="00CD342A" w:rsidRPr="00CB60AD" w:rsidRDefault="00B61410" w:rsidP="00106887">
                            <w:pPr>
                              <w:pStyle w:val="Headeroption1"/>
                            </w:pPr>
                            <w:r w:rsidRPr="00CB60AD">
                              <w:br/>
                            </w:r>
                          </w:p>
                          <w:p w14:paraId="7F7AC49A" w14:textId="77777777" w:rsidR="00CD342A" w:rsidRPr="00681165" w:rsidRDefault="00CD342A" w:rsidP="0068116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7304F" id="_x0000_t202" coordsize="21600,21600" o:spt="202" path="m0,0l0,21600,21600,21600,21600,0xe">
                <v:stroke joinstyle="miter"/>
                <v:path gradientshapeok="t" o:connecttype="rect"/>
              </v:shapetype>
              <v:shape id="Text Box 2" o:spid="_x0000_s1026" type="#_x0000_t202" style="position:absolute;margin-left:-9.9pt;margin-top:7.05pt;width:433.8pt;height:8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" filled="f" stroked="f">
                <v:textbox>
                  <w:txbxContent>
                    <w:p w14:paraId="6043759B" w14:textId="77777777" w:rsidR="00155087" w:rsidRPr="00155087" w:rsidRDefault="00155087" w:rsidP="00155087">
                      <w:pPr>
                        <w:spacing w:after="200"/>
                        <w:rPr>
                          <w:rFonts w:cs="Times New Roman"/>
                          <w:b/>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MONASH</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UNIVERSITY</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155087">
                        <w:rPr>
                          <w:rFonts w:cs="Times New Roman"/>
                          <w:b/>
                          <w:bCs/>
                          <w:outline/>
                          <w:color w:val="4472C4" w:themeColor="accent5"/>
                          <w:sz w:val="60"/>
                          <w:szCs w:val="60"/>
                          <w:lang w:val="en-GB" w:eastAsia="en-GB"/>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PERFORMING ARTS CENTRE</w:t>
                      </w:r>
                    </w:p>
                    <w:p w14:paraId="17039513" w14:textId="77777777" w:rsidR="00CD342A" w:rsidRPr="00CB60AD" w:rsidRDefault="00B61410" w:rsidP="00106887">
                      <w:pPr>
                        <w:pStyle w:val="Headeroption1"/>
                      </w:pPr>
                      <w:r w:rsidRPr="00CB60AD">
                        <w:br/>
                      </w:r>
                    </w:p>
                    <w:p w14:paraId="7F7AC49A" w14:textId="77777777" w:rsidR="00CD342A" w:rsidRPr="00681165" w:rsidRDefault="00CD342A" w:rsidP="00681165">
                      <w:pPr>
                        <w:rPr>
                          <w:color w:val="FFFFFF" w:themeColor="background1"/>
                          <w14:textFill>
                            <w14:noFill/>
                          </w14:textFill>
                        </w:rPr>
                      </w:pPr>
                    </w:p>
                  </w:txbxContent>
                </v:textbox>
                <w10:wrap type="square"/>
              </v:shape>
            </w:pict>
          </mc:Fallback>
        </mc:AlternateContent>
      </w:r>
      <w:r w:rsidR="008F4994">
        <w:rPr>
          <w:noProof/>
          <w:lang w:eastAsia="zh-CN"/>
        </w:rPr>
        <w:t>+-</w:t>
      </w:r>
    </w:p>
    <w:p w14:paraId="3B02F119" w14:textId="77777777" w:rsidR="00955E3A" w:rsidRPr="00955E3A" w:rsidRDefault="00955E3A" w:rsidP="00955E3A">
      <w:pPr>
        <w:rPr>
          <w:lang w:val="en-US"/>
        </w:rPr>
      </w:pPr>
    </w:p>
    <w:p w14:paraId="7AE82565" w14:textId="77777777" w:rsidR="00955E3A" w:rsidRPr="00955E3A" w:rsidRDefault="00955E3A" w:rsidP="00955E3A">
      <w:pPr>
        <w:rPr>
          <w:lang w:val="en-US"/>
        </w:rPr>
      </w:pPr>
    </w:p>
    <w:p w14:paraId="36EF8150" w14:textId="77777777" w:rsidR="00955E3A" w:rsidRPr="00955E3A" w:rsidRDefault="00955E3A" w:rsidP="00955E3A">
      <w:pPr>
        <w:rPr>
          <w:lang w:val="en-US"/>
        </w:rPr>
      </w:pPr>
    </w:p>
    <w:p w14:paraId="1D40AA03" w14:textId="77777777" w:rsidR="00955E3A" w:rsidRPr="00955E3A" w:rsidRDefault="00955E3A" w:rsidP="00955E3A">
      <w:pPr>
        <w:rPr>
          <w:lang w:val="en-US"/>
        </w:rPr>
      </w:pPr>
    </w:p>
    <w:p w14:paraId="54C707A9" w14:textId="77777777" w:rsidR="00155087" w:rsidRPr="00155087" w:rsidRDefault="00155087" w:rsidP="00155087">
      <w:pPr>
        <w:tabs>
          <w:tab w:val="left" w:pos="1830"/>
        </w:tabs>
        <w:rPr>
          <w:lang w:val="en-US"/>
        </w:rPr>
      </w:pPr>
    </w:p>
    <w:p w14:paraId="727DBEAD" w14:textId="77777777" w:rsidR="00155087" w:rsidRDefault="00155087" w:rsidP="00955E3A">
      <w:pPr>
        <w:pStyle w:val="Heading11"/>
      </w:pPr>
    </w:p>
    <w:p w14:paraId="5D08DC58" w14:textId="77777777" w:rsidR="00155087" w:rsidRPr="00155087" w:rsidRDefault="00155087" w:rsidP="00155087">
      <w:pPr>
        <w:spacing w:after="200"/>
        <w:rPr>
          <w:rFonts w:cs="Times New Roman"/>
          <w:color w:val="2E74B5" w:themeColor="accent1" w:themeShade="BF"/>
          <w:sz w:val="27"/>
          <w:szCs w:val="27"/>
          <w:lang w:val="en-GB" w:eastAsia="en-GB"/>
        </w:rPr>
      </w:pPr>
      <w:r w:rsidRPr="00155087">
        <w:rPr>
          <w:rFonts w:cs="Times New Roman"/>
          <w:b/>
          <w:bCs/>
          <w:iCs/>
          <w:color w:val="2E74B5" w:themeColor="accent1" w:themeShade="BF"/>
          <w:sz w:val="28"/>
          <w:szCs w:val="28"/>
          <w:lang w:val="en-GB" w:eastAsia="en-GB"/>
        </w:rPr>
        <w:t>Equipment and Room Usage Policy</w:t>
      </w:r>
    </w:p>
    <w:p w14:paraId="37FA1295"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Users</w:t>
      </w:r>
    </w:p>
    <w:p w14:paraId="0FA7A637" w14:textId="77777777" w:rsidR="00155087" w:rsidRPr="00155087" w:rsidRDefault="00155087" w:rsidP="00155087">
      <w:pPr>
        <w:spacing w:after="200"/>
        <w:rPr>
          <w:rFonts w:ascii="Times" w:hAnsi="Times" w:cs="Times New Roman"/>
          <w:color w:val="000000"/>
          <w:sz w:val="27"/>
          <w:szCs w:val="27"/>
          <w:lang w:val="en-GB" w:eastAsia="en-GB"/>
        </w:rPr>
      </w:pPr>
      <w:r w:rsidRPr="00155087">
        <w:rPr>
          <w:rFonts w:ascii="Calibri" w:hAnsi="Calibri" w:cs="Times New Roman"/>
          <w:color w:val="000000"/>
          <w:sz w:val="22"/>
          <w:szCs w:val="22"/>
          <w:lang w:val="en-GB" w:eastAsia="en-GB"/>
        </w:rPr>
        <w:t xml:space="preserve">Subject to these Terms of Use, the facilities and equipment of the Monash University Performing Arts Centre (the ‘PAC’) are available to members of staff and students of the Sir Zelman Cowen School of Music (“SZCSoM”) and Centre for Theatre and Performance (CTP) as well as other persons determined by the PAC Performance and Technical Manager who are collectively referred to as ‘users’ in these Terms of Use. </w:t>
      </w:r>
    </w:p>
    <w:p w14:paraId="2DA0356B" w14:textId="77777777" w:rsidR="00155087" w:rsidRPr="00155087" w:rsidRDefault="00155087" w:rsidP="00155087">
      <w:pPr>
        <w:spacing w:after="0"/>
        <w:outlineLvl w:val="0"/>
        <w:rPr>
          <w:rFonts w:eastAsia="Times New Roman" w:cs="Arial"/>
          <w:b/>
          <w:bCs/>
          <w:color w:val="2E74B5" w:themeColor="accent1" w:themeShade="BF"/>
          <w:kern w:val="36"/>
          <w:sz w:val="48"/>
          <w:szCs w:val="48"/>
          <w:lang w:val="en-GB" w:eastAsia="en-GB"/>
        </w:rPr>
      </w:pPr>
      <w:r w:rsidRPr="00155087">
        <w:rPr>
          <w:rFonts w:eastAsia="Times New Roman" w:cs="Arial"/>
          <w:b/>
          <w:bCs/>
          <w:color w:val="2E74B5" w:themeColor="accent1" w:themeShade="BF"/>
          <w:kern w:val="36"/>
          <w:sz w:val="28"/>
          <w:szCs w:val="28"/>
          <w:lang w:val="en-GB" w:eastAsia="en-GB"/>
        </w:rPr>
        <w:t>Conduct</w:t>
      </w:r>
    </w:p>
    <w:p w14:paraId="762E0E81"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All users of the PAC have a right to pursue their research or study without unnecessary disturbance or distraction and have an obligation to respect the rights of others. The PAC manages a suite of equipment and facilities to enable users’ study and research.</w:t>
      </w:r>
    </w:p>
    <w:p w14:paraId="5FEF5363" w14:textId="77777777" w:rsidR="00155087" w:rsidRPr="00155087" w:rsidRDefault="00155087" w:rsidP="00155087">
      <w:pPr>
        <w:spacing w:after="0"/>
        <w:outlineLvl w:val="1"/>
        <w:rPr>
          <w:rFonts w:eastAsia="Times New Roman" w:cs="Times New Roman"/>
          <w:b/>
          <w:bCs/>
          <w:color w:val="2E74B5" w:themeColor="accent1" w:themeShade="BF"/>
          <w:sz w:val="36"/>
          <w:szCs w:val="36"/>
          <w:lang w:val="en-GB" w:eastAsia="en-GB"/>
        </w:rPr>
      </w:pPr>
      <w:r w:rsidRPr="00155087">
        <w:rPr>
          <w:rFonts w:eastAsia="Times New Roman" w:cs="Times New Roman"/>
          <w:b/>
          <w:bCs/>
          <w:color w:val="2E74B5" w:themeColor="accent1" w:themeShade="BF"/>
          <w:lang w:val="en-GB" w:eastAsia="en-GB"/>
        </w:rPr>
        <w:t>Users of Monash University Performing Arts Centre must:</w:t>
      </w:r>
    </w:p>
    <w:p w14:paraId="7B5EE5C9" w14:textId="77777777" w:rsidR="00155087" w:rsidRPr="00155087" w:rsidRDefault="00155087" w:rsidP="00155087">
      <w:pPr>
        <w:numPr>
          <w:ilvl w:val="0"/>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Respect the right of others to study, learn and research in the PAC’s facilities. This includes, but is not limited to, the following requirements:</w:t>
      </w:r>
    </w:p>
    <w:p w14:paraId="02A254A6"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No smelly or messy food is allowed in PAC facilities. Food may be consumed in the foyer area only.</w:t>
      </w:r>
    </w:p>
    <w:p w14:paraId="289604E6"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Plain water in a closed container may be consumed in practice rooms and performance spaces. Other drinks with lids (eg. coffee, soft drinks, juice) are allowed in the foyer area only and must not be brought into practice rooms, performance venues or any other PAC spaces.</w:t>
      </w:r>
    </w:p>
    <w:p w14:paraId="1E46C5EC"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 xml:space="preserve">Waste items are to be disposed of using the appropriate landfill or recycling bins. </w:t>
      </w:r>
    </w:p>
    <w:p w14:paraId="1C23BB77"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A moderate level of noise is permitted in the foyer areas. Instrument practice or other noisy activities must not take place in foyer areas.</w:t>
      </w:r>
    </w:p>
    <w:p w14:paraId="21DB77B5"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Mobile phones are to be set to vibrate or silent during classes and performances.</w:t>
      </w:r>
    </w:p>
    <w:p w14:paraId="7B8C2C6C" w14:textId="77777777" w:rsidR="00155087" w:rsidRPr="00155087" w:rsidRDefault="00155087" w:rsidP="00155087">
      <w:pPr>
        <w:numPr>
          <w:ilvl w:val="1"/>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Personal items may not be left in practice rooms or in other spaces to reserve them. Such items may be removed by PAC staff if a room is booked by another user of if left unattended for 15 minutes or longer. Removed items will be available for collection at the resources office.</w:t>
      </w:r>
    </w:p>
    <w:p w14:paraId="4B912AFD" w14:textId="77777777" w:rsidR="00155087" w:rsidRPr="00155087" w:rsidRDefault="00155087" w:rsidP="00155087">
      <w:pPr>
        <w:numPr>
          <w:ilvl w:val="0"/>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Show or surrender their Monash University ID card or other form of photo ID when requested by a member of PAC staff.</w:t>
      </w:r>
    </w:p>
    <w:p w14:paraId="1B2AFA36" w14:textId="77777777" w:rsidR="00155087" w:rsidRPr="00155087" w:rsidRDefault="00155087" w:rsidP="00155087">
      <w:pPr>
        <w:numPr>
          <w:ilvl w:val="0"/>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Comply with official notices displayed within the PAC’s facilities and on the PAC’s online services.</w:t>
      </w:r>
    </w:p>
    <w:p w14:paraId="5ACDBC56" w14:textId="77777777" w:rsidR="00155087" w:rsidRPr="00155087" w:rsidRDefault="00155087" w:rsidP="00155087">
      <w:pPr>
        <w:numPr>
          <w:ilvl w:val="0"/>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Comply with any reasonable direction made by a member of PAC staff.</w:t>
      </w:r>
    </w:p>
    <w:p w14:paraId="21BF1D77" w14:textId="77777777" w:rsidR="00155087" w:rsidRPr="00155087" w:rsidRDefault="00155087" w:rsidP="00155087">
      <w:pPr>
        <w:numPr>
          <w:ilvl w:val="0"/>
          <w:numId w:val="29"/>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Present all materials, contents of bags and cases for inspection on request by a member of PAC staff.</w:t>
      </w:r>
    </w:p>
    <w:p w14:paraId="3BDA1920" w14:textId="77777777" w:rsidR="00155087" w:rsidRPr="00155087" w:rsidRDefault="00155087" w:rsidP="00155087">
      <w:pPr>
        <w:numPr>
          <w:ilvl w:val="0"/>
          <w:numId w:val="29"/>
        </w:numPr>
        <w:spacing w:after="20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Comply with all laws, University statutes, regulations, policies and terms of use. These include the University’s Information Technology use policies and the provisions of the Copyright Act 1968, the Copyright Amendment (Digital Agenda) Act 2000 and other amendments and regulations currently in force.</w:t>
      </w:r>
    </w:p>
    <w:p w14:paraId="3902B1A0"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lastRenderedPageBreak/>
        <w:t>Use of PAC materials</w:t>
      </w:r>
    </w:p>
    <w:p w14:paraId="3765082A" w14:textId="77777777" w:rsidR="00155087" w:rsidRPr="00155087" w:rsidRDefault="00155087" w:rsidP="00155087">
      <w:pPr>
        <w:spacing w:after="0"/>
        <w:outlineLvl w:val="1"/>
        <w:rPr>
          <w:rFonts w:eastAsia="Times New Roman" w:cs="Times New Roman"/>
          <w:b/>
          <w:bCs/>
          <w:color w:val="2E74B5" w:themeColor="accent1" w:themeShade="BF"/>
          <w:sz w:val="36"/>
          <w:szCs w:val="36"/>
          <w:lang w:val="en-GB" w:eastAsia="en-GB"/>
        </w:rPr>
      </w:pPr>
      <w:r w:rsidRPr="00155087">
        <w:rPr>
          <w:rFonts w:eastAsia="Times New Roman" w:cs="Times New Roman"/>
          <w:b/>
          <w:bCs/>
          <w:color w:val="2E74B5" w:themeColor="accent1" w:themeShade="BF"/>
          <w:lang w:val="en-GB" w:eastAsia="en-GB"/>
        </w:rPr>
        <w:t>Terms of use for electronic resources</w:t>
      </w:r>
    </w:p>
    <w:p w14:paraId="39F70036"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The PAC’s electronic resources are governed by licence agreements which restrict use to the PAC community who must be responsible for limiting use to non-commercial academic research or learning purposes and must not systematically download, distribute, or retain substantial portions of information.</w:t>
      </w:r>
    </w:p>
    <w:p w14:paraId="53CFDFF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Copyright and proprietary notices must not be removed from any printed or downloaded material and all material used must be cited appropriately. The use of unauthorised scripts, agents or robot software is prohibited and may result in the loss of access to the resources for the user and/or the entire PAC community. Users are also legally required to comply with any additional terms of use specified in an electronic resource.</w:t>
      </w:r>
    </w:p>
    <w:p w14:paraId="68D1254E"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Staff should note that any use of electronic resources for teaching purposes must comply with the contractual terms of use of the electronic resource from which the material was sourced.</w:t>
      </w:r>
    </w:p>
    <w:p w14:paraId="3A912237"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Users found to be in breach of these terms of use will be suspended from access to all purchased and subscribed electronic resources, and may suffer additional penalties in accordance with the University’s Information Technology Acceptable Use Policy. </w:t>
      </w:r>
    </w:p>
    <w:p w14:paraId="6CDA5BA3" w14:textId="77777777" w:rsidR="00155087" w:rsidRPr="00155087" w:rsidRDefault="00155087" w:rsidP="00155087">
      <w:pPr>
        <w:spacing w:after="0"/>
        <w:outlineLvl w:val="1"/>
        <w:rPr>
          <w:rFonts w:ascii="Times" w:eastAsia="Times New Roman" w:hAnsi="Times" w:cs="Times New Roman"/>
          <w:b/>
          <w:bCs/>
          <w:color w:val="2E74B5" w:themeColor="accent1" w:themeShade="BF"/>
          <w:sz w:val="36"/>
          <w:szCs w:val="36"/>
          <w:lang w:val="en-GB" w:eastAsia="en-GB"/>
        </w:rPr>
      </w:pPr>
      <w:r w:rsidRPr="00155087">
        <w:rPr>
          <w:rFonts w:ascii="Calibri" w:eastAsia="Times New Roman" w:hAnsi="Calibri" w:cs="Times New Roman"/>
          <w:b/>
          <w:bCs/>
          <w:color w:val="2E74B5" w:themeColor="accent1" w:themeShade="BF"/>
          <w:lang w:val="en-GB" w:eastAsia="en-GB"/>
        </w:rPr>
        <w:t>Terms of use for other materials</w:t>
      </w:r>
    </w:p>
    <w:p w14:paraId="0FFA7D3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A person must not remove from the PAC</w:t>
      </w:r>
    </w:p>
    <w:p w14:paraId="17A38546" w14:textId="77777777" w:rsidR="00155087" w:rsidRPr="00155087" w:rsidRDefault="00155087" w:rsidP="00155087">
      <w:pPr>
        <w:numPr>
          <w:ilvl w:val="0"/>
          <w:numId w:val="30"/>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Equipment or materials designated as not for loan; or</w:t>
      </w:r>
    </w:p>
    <w:p w14:paraId="773C886C" w14:textId="77777777" w:rsidR="00155087" w:rsidRPr="00155087" w:rsidRDefault="00155087" w:rsidP="00155087">
      <w:pPr>
        <w:numPr>
          <w:ilvl w:val="0"/>
          <w:numId w:val="30"/>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any other PAC equipment or material –</w:t>
      </w:r>
    </w:p>
    <w:p w14:paraId="684A87B3" w14:textId="77777777" w:rsidR="00155087" w:rsidRPr="00155087" w:rsidRDefault="00155087" w:rsidP="00155087">
      <w:pPr>
        <w:numPr>
          <w:ilvl w:val="1"/>
          <w:numId w:val="30"/>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unless a loan has been recorded in accordance with current PAC procedures; or</w:t>
      </w:r>
    </w:p>
    <w:p w14:paraId="0E44D099" w14:textId="77777777" w:rsidR="00155087" w:rsidRPr="00155087" w:rsidRDefault="00155087" w:rsidP="00155087">
      <w:pPr>
        <w:numPr>
          <w:ilvl w:val="1"/>
          <w:numId w:val="30"/>
        </w:numPr>
        <w:spacing w:after="20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 xml:space="preserve">without permission from a member of the PAC resources team. </w:t>
      </w:r>
    </w:p>
    <w:p w14:paraId="010326A6"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Borrowing Materials</w:t>
      </w:r>
    </w:p>
    <w:p w14:paraId="70EE5018"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For materials that can be borrowed the PAC Performance and Technical Manager will determine:</w:t>
      </w:r>
    </w:p>
    <w:p w14:paraId="0183A5DB" w14:textId="77777777" w:rsidR="00155087" w:rsidRPr="00155087" w:rsidRDefault="00155087" w:rsidP="00155087">
      <w:pPr>
        <w:numPr>
          <w:ilvl w:val="0"/>
          <w:numId w:val="31"/>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the number of items that a user may have on loan; and</w:t>
      </w:r>
    </w:p>
    <w:p w14:paraId="327E6840" w14:textId="77777777" w:rsidR="00155087" w:rsidRPr="00155087" w:rsidRDefault="00155087" w:rsidP="00155087">
      <w:pPr>
        <w:numPr>
          <w:ilvl w:val="0"/>
          <w:numId w:val="31"/>
        </w:numPr>
        <w:spacing w:after="20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the period for which the materials may be borrowed.</w:t>
      </w:r>
    </w:p>
    <w:p w14:paraId="367220BD"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During the period of a loan, the user who borrowed the materials is responsible for their care and safekeeping. </w:t>
      </w:r>
    </w:p>
    <w:p w14:paraId="535ECE8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PAC materials on loan must be returned –</w:t>
      </w:r>
    </w:p>
    <w:p w14:paraId="772728A6" w14:textId="77777777" w:rsidR="00155087" w:rsidRPr="00155087" w:rsidRDefault="00155087" w:rsidP="00155087">
      <w:pPr>
        <w:numPr>
          <w:ilvl w:val="0"/>
          <w:numId w:val="32"/>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to the PAC on or prior to the specified time and date; or</w:t>
      </w:r>
    </w:p>
    <w:p w14:paraId="344F6D4E" w14:textId="77777777" w:rsidR="00155087" w:rsidRPr="00155087" w:rsidRDefault="00155087" w:rsidP="00155087">
      <w:pPr>
        <w:numPr>
          <w:ilvl w:val="0"/>
          <w:numId w:val="32"/>
        </w:numPr>
        <w:spacing w:after="20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in response to a notice or request to the user by any member of the PAC resources team.</w:t>
      </w:r>
    </w:p>
    <w:p w14:paraId="66210CB2"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Fees and fines</w:t>
      </w:r>
    </w:p>
    <w:p w14:paraId="1CF0EDD2"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The PAC Performance and Technical Manager determines and publishes fines for late return of borrowed materials. In a case of late return, a notice requiring payment of the resulting fine will be sent to the user.</w:t>
      </w:r>
    </w:p>
    <w:p w14:paraId="61E04D01"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Where PAC materials are not returned or are returned in a damaged state, a fee determined by the PAC Performance and Technical Manager to be the cost of replacing or repairing the PAC materials, including a processing charge, may be applicable. This is in addition to any overdue fines the user may be required to pay.  </w:t>
      </w:r>
    </w:p>
    <w:p w14:paraId="74F716A5"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Any amount payable must be paid by the user. Failure to do so may result in encumbrance of a user’s account by the University. Where the user is a student, a restriction on the student obtaining an academic transcript or having a degree conferred upon them will also be imposed in accordance with the Monash University (Vice-Chancellor) Regulations. </w:t>
      </w:r>
    </w:p>
    <w:p w14:paraId="462CBEBD"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Exclusion</w:t>
      </w:r>
    </w:p>
    <w:p w14:paraId="3D9E29C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A member of the PAC resources team who is of the opinion that a user has caused a disturbance or failed to comply with these Terms of Use may request the user to produce their user identification and may order the person to leave the PAC’s facilities.</w:t>
      </w:r>
    </w:p>
    <w:p w14:paraId="77B6B92C"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Where a user has:</w:t>
      </w:r>
    </w:p>
    <w:p w14:paraId="37EAB80F" w14:textId="77777777" w:rsidR="00155087" w:rsidRPr="00155087" w:rsidRDefault="00155087" w:rsidP="00155087">
      <w:pPr>
        <w:numPr>
          <w:ilvl w:val="0"/>
          <w:numId w:val="33"/>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returned PAC materials after the due return date; or</w:t>
      </w:r>
    </w:p>
    <w:p w14:paraId="42A3E0A8" w14:textId="77777777" w:rsidR="00155087" w:rsidRPr="00155087" w:rsidRDefault="00155087" w:rsidP="00155087">
      <w:pPr>
        <w:numPr>
          <w:ilvl w:val="0"/>
          <w:numId w:val="33"/>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returned PAC materials in a damaged state; or</w:t>
      </w:r>
    </w:p>
    <w:p w14:paraId="23EE5244" w14:textId="77777777" w:rsidR="00155087" w:rsidRPr="00155087" w:rsidRDefault="00155087" w:rsidP="00155087">
      <w:pPr>
        <w:numPr>
          <w:ilvl w:val="0"/>
          <w:numId w:val="33"/>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failed to return PAC materials; or</w:t>
      </w:r>
    </w:p>
    <w:p w14:paraId="08D6CE40" w14:textId="77777777" w:rsidR="00155087" w:rsidRPr="00155087" w:rsidRDefault="00155087" w:rsidP="00155087">
      <w:pPr>
        <w:numPr>
          <w:ilvl w:val="0"/>
          <w:numId w:val="33"/>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refused to comply with a request or order; or</w:t>
      </w:r>
    </w:p>
    <w:p w14:paraId="33B33508" w14:textId="77777777" w:rsidR="00155087" w:rsidRPr="00155087" w:rsidRDefault="00155087" w:rsidP="00155087">
      <w:pPr>
        <w:numPr>
          <w:ilvl w:val="0"/>
          <w:numId w:val="33"/>
        </w:numPr>
        <w:spacing w:after="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not paid fees or fines within the time required; or</w:t>
      </w:r>
    </w:p>
    <w:p w14:paraId="7D064E31" w14:textId="77777777" w:rsidR="00155087" w:rsidRPr="00155087" w:rsidRDefault="00155087" w:rsidP="00155087">
      <w:pPr>
        <w:numPr>
          <w:ilvl w:val="0"/>
          <w:numId w:val="33"/>
        </w:numPr>
        <w:spacing w:after="200"/>
        <w:textAlignment w:val="baseline"/>
        <w:rPr>
          <w:rFonts w:ascii="Arial" w:hAnsi="Arial" w:cs="Arial"/>
          <w:color w:val="000000"/>
          <w:sz w:val="22"/>
          <w:szCs w:val="22"/>
          <w:lang w:val="en-GB" w:eastAsia="en-GB"/>
        </w:rPr>
      </w:pPr>
      <w:r w:rsidRPr="00155087">
        <w:rPr>
          <w:rFonts w:ascii="Arial" w:hAnsi="Arial" w:cs="Arial"/>
          <w:color w:val="000000"/>
          <w:sz w:val="22"/>
          <w:szCs w:val="22"/>
          <w:lang w:val="en-GB" w:eastAsia="en-GB"/>
        </w:rPr>
        <w:t>engaged in a combination of the above actions,</w:t>
      </w:r>
    </w:p>
    <w:p w14:paraId="75F2A948"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after giving the user reasonable opportunity to be heard, the PAC Performance and Technical Manager may forbid the user to enter PAC facilities or to make use of PAC resources and facilities for such period and under such conditions as the PAC Performance and Technical Manager determines.</w:t>
      </w:r>
    </w:p>
    <w:p w14:paraId="7955162E"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Failure to comply with the above may also result in a student’s account being encumbered by the University.</w:t>
      </w:r>
    </w:p>
    <w:p w14:paraId="5040D99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Where a user who is also a student engages in the above conduct, a member of the PAC staff may also report an allegation of general misconduct in accordance with the Monash University (Council) Regulations. </w:t>
      </w:r>
    </w:p>
    <w:p w14:paraId="62E98CCA"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Delegation</w:t>
      </w:r>
    </w:p>
    <w:p w14:paraId="34CB0E08"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The PAC Performance and Technical Manager may delegate all or any of the powers and functions of the Monash University Performing Arts Centre  to any other member of PAC staff. </w:t>
      </w:r>
    </w:p>
    <w:p w14:paraId="6CE60AEA" w14:textId="77777777" w:rsidR="00155087" w:rsidRPr="00155087" w:rsidRDefault="00155087" w:rsidP="00155087">
      <w:pPr>
        <w:spacing w:after="0"/>
        <w:outlineLvl w:val="0"/>
        <w:rPr>
          <w:rFonts w:eastAsia="Times New Roman" w:cs="Times New Roman"/>
          <w:b/>
          <w:bCs/>
          <w:color w:val="2E74B5" w:themeColor="accent1" w:themeShade="BF"/>
          <w:kern w:val="36"/>
          <w:sz w:val="48"/>
          <w:szCs w:val="48"/>
          <w:lang w:val="en-GB" w:eastAsia="en-GB"/>
        </w:rPr>
      </w:pPr>
      <w:r w:rsidRPr="00155087">
        <w:rPr>
          <w:rFonts w:eastAsia="Times New Roman" w:cs="Times New Roman"/>
          <w:b/>
          <w:bCs/>
          <w:color w:val="2E74B5" w:themeColor="accent1" w:themeShade="BF"/>
          <w:kern w:val="36"/>
          <w:sz w:val="28"/>
          <w:szCs w:val="28"/>
          <w:lang w:val="en-GB" w:eastAsia="en-GB"/>
        </w:rPr>
        <w:t>Communication</w:t>
      </w:r>
    </w:p>
    <w:p w14:paraId="503DB42F"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Any communication with or notice for a user will be sent to the email address recorded in the user’s record on the PAC’s management system.</w:t>
      </w:r>
    </w:p>
    <w:p w14:paraId="6A364E9B"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Official notices, directed to the whole user community, will be displayed within the PAC and online.</w:t>
      </w:r>
    </w:p>
    <w:p w14:paraId="407280DA" w14:textId="77777777" w:rsidR="00155087" w:rsidRPr="00155087" w:rsidRDefault="00155087" w:rsidP="00155087">
      <w:pPr>
        <w:spacing w:after="200"/>
        <w:rPr>
          <w:rFonts w:ascii="Arial" w:hAnsi="Arial" w:cs="Arial"/>
          <w:color w:val="000000"/>
          <w:sz w:val="27"/>
          <w:szCs w:val="27"/>
          <w:lang w:val="en-GB" w:eastAsia="en-GB"/>
        </w:rPr>
      </w:pPr>
      <w:r w:rsidRPr="00155087">
        <w:rPr>
          <w:rFonts w:ascii="Arial" w:hAnsi="Arial" w:cs="Arial"/>
          <w:color w:val="000000"/>
          <w:sz w:val="22"/>
          <w:szCs w:val="22"/>
          <w:lang w:val="en-GB" w:eastAsia="en-GB"/>
        </w:rPr>
        <w:t xml:space="preserve">Questions and feedback regarding the PAC’s Terms of Use are welcome through discussion with PAC resources staff. Users who are unhappy with the PAC’s processes or with their treatment by PAC staff may make a formal complaint. </w:t>
      </w:r>
    </w:p>
    <w:p w14:paraId="03C5FE4B" w14:textId="77777777" w:rsidR="00B9592F" w:rsidRDefault="00F3465D" w:rsidP="00F317F8">
      <w:pPr>
        <w:pStyle w:val="Heading11"/>
        <w:rPr>
          <w:lang w:val="en-US"/>
        </w:rPr>
      </w:pPr>
      <w:r>
        <w:br/>
      </w:r>
    </w:p>
    <w:p w14:paraId="5DB94794" w14:textId="77777777" w:rsidR="00B9592F" w:rsidRPr="00B9592F" w:rsidRDefault="00B9592F" w:rsidP="00B9592F">
      <w:pPr>
        <w:rPr>
          <w:lang w:val="en-US"/>
        </w:rPr>
      </w:pPr>
    </w:p>
    <w:p w14:paraId="27FBEBC8" w14:textId="77777777" w:rsidR="00B9592F" w:rsidRPr="00B9592F" w:rsidRDefault="00B9592F" w:rsidP="00B9592F">
      <w:pPr>
        <w:rPr>
          <w:lang w:val="en-US"/>
        </w:rPr>
      </w:pPr>
    </w:p>
    <w:p w14:paraId="06912A88" w14:textId="77777777" w:rsidR="00B9592F" w:rsidRPr="00B9592F" w:rsidRDefault="00B9592F" w:rsidP="00B9592F">
      <w:pPr>
        <w:rPr>
          <w:lang w:val="en-US"/>
        </w:rPr>
      </w:pPr>
    </w:p>
    <w:p w14:paraId="0A1952D7" w14:textId="77777777" w:rsidR="00B9592F" w:rsidRPr="00B9592F" w:rsidRDefault="00B9592F" w:rsidP="00B9592F">
      <w:pPr>
        <w:rPr>
          <w:lang w:val="en-US"/>
        </w:rPr>
      </w:pPr>
    </w:p>
    <w:p w14:paraId="088BB4C3" w14:textId="77777777" w:rsidR="00B9592F" w:rsidRPr="00B9592F" w:rsidRDefault="00B9592F" w:rsidP="00B9592F">
      <w:pPr>
        <w:rPr>
          <w:lang w:val="en-US"/>
        </w:rPr>
      </w:pPr>
    </w:p>
    <w:p w14:paraId="72A24838" w14:textId="77777777" w:rsidR="00B9592F" w:rsidRPr="00B9592F" w:rsidRDefault="00B9592F" w:rsidP="00B9592F">
      <w:pPr>
        <w:rPr>
          <w:lang w:val="en-US"/>
        </w:rPr>
      </w:pPr>
    </w:p>
    <w:p w14:paraId="56B99310" w14:textId="77777777" w:rsidR="00B9592F" w:rsidRPr="00B9592F" w:rsidRDefault="00B9592F" w:rsidP="00B9592F">
      <w:pPr>
        <w:rPr>
          <w:lang w:val="en-US"/>
        </w:rPr>
      </w:pPr>
    </w:p>
    <w:p w14:paraId="284BBD6E" w14:textId="77777777" w:rsidR="00B9592F" w:rsidRPr="00B9592F" w:rsidRDefault="00B9592F" w:rsidP="00B9592F">
      <w:pPr>
        <w:rPr>
          <w:lang w:val="en-US"/>
        </w:rPr>
      </w:pPr>
      <w:bookmarkStart w:id="0" w:name="_GoBack"/>
      <w:bookmarkEnd w:id="0"/>
    </w:p>
    <w:p w14:paraId="7CAEFF05" w14:textId="77777777" w:rsidR="00B9592F" w:rsidRPr="00B9592F" w:rsidRDefault="00B9592F" w:rsidP="00B9592F">
      <w:pPr>
        <w:rPr>
          <w:lang w:val="en-US"/>
        </w:rPr>
      </w:pPr>
    </w:p>
    <w:p w14:paraId="607A6FC1" w14:textId="77777777" w:rsidR="00B9592F" w:rsidRPr="00B9592F" w:rsidRDefault="00B9592F" w:rsidP="00B9592F">
      <w:pPr>
        <w:rPr>
          <w:lang w:val="en-US"/>
        </w:rPr>
      </w:pPr>
    </w:p>
    <w:p w14:paraId="541E3294" w14:textId="77777777" w:rsidR="00B9592F" w:rsidRPr="00B9592F" w:rsidRDefault="00B9592F" w:rsidP="00B9592F">
      <w:pPr>
        <w:rPr>
          <w:lang w:val="en-US"/>
        </w:rPr>
      </w:pPr>
    </w:p>
    <w:p w14:paraId="25872E16" w14:textId="77777777" w:rsidR="00B9592F" w:rsidRPr="00B9592F" w:rsidRDefault="00B9592F" w:rsidP="00B9592F">
      <w:pPr>
        <w:rPr>
          <w:lang w:val="en-US"/>
        </w:rPr>
      </w:pPr>
    </w:p>
    <w:p w14:paraId="4DFFBF0F" w14:textId="77777777" w:rsidR="00B9592F" w:rsidRPr="00B9592F" w:rsidRDefault="00B9592F" w:rsidP="00B9592F">
      <w:pPr>
        <w:rPr>
          <w:lang w:val="en-US"/>
        </w:rPr>
      </w:pPr>
    </w:p>
    <w:p w14:paraId="67517DB6" w14:textId="77777777" w:rsidR="00B9592F" w:rsidRPr="00B9592F" w:rsidRDefault="00B9592F" w:rsidP="00B9592F">
      <w:pPr>
        <w:rPr>
          <w:lang w:val="en-US"/>
        </w:rPr>
      </w:pPr>
    </w:p>
    <w:p w14:paraId="3C509219" w14:textId="77777777" w:rsidR="00B9592F" w:rsidRPr="00B9592F" w:rsidRDefault="00B9592F" w:rsidP="00B9592F">
      <w:pPr>
        <w:rPr>
          <w:lang w:val="en-US"/>
        </w:rPr>
      </w:pPr>
    </w:p>
    <w:p w14:paraId="7A01A0E5" w14:textId="77777777" w:rsidR="00681165" w:rsidRPr="00B9592F" w:rsidRDefault="00B9592F" w:rsidP="00B9592F">
      <w:pPr>
        <w:tabs>
          <w:tab w:val="left" w:pos="7760"/>
        </w:tabs>
        <w:rPr>
          <w:lang w:val="en-US"/>
        </w:rPr>
      </w:pPr>
      <w:r>
        <w:rPr>
          <w:lang w:val="en-US"/>
        </w:rPr>
        <w:tab/>
      </w:r>
    </w:p>
    <w:sectPr w:rsidR="00681165" w:rsidRPr="00B9592F" w:rsidSect="006974D6">
      <w:headerReference w:type="default" r:id="rId13"/>
      <w:footerReference w:type="default" r:id="rId14"/>
      <w:footerReference w:type="first" r:id="rId15"/>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F9E51" w14:textId="77777777" w:rsidR="00997B38" w:rsidRDefault="00997B38" w:rsidP="0033193B">
      <w:pPr>
        <w:spacing w:after="0"/>
      </w:pPr>
      <w:r>
        <w:separator/>
      </w:r>
    </w:p>
  </w:endnote>
  <w:endnote w:type="continuationSeparator" w:id="0">
    <w:p w14:paraId="732CC690" w14:textId="77777777" w:rsidR="00997B38" w:rsidRDefault="00997B38"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Minion Pro">
    <w:panose1 w:val="02040503050306020203"/>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等线">
    <w:charset w:val="86"/>
    <w:family w:val="script"/>
    <w:pitch w:val="variable"/>
    <w:sig w:usb0="A00002BF" w:usb1="38CF7CFA" w:usb2="00000016" w:usb3="00000000" w:csb0="0004000F" w:csb1="00000000"/>
  </w:font>
  <w:font w:name="Segoe U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637595"/>
      <w:docPartObj>
        <w:docPartGallery w:val="Page Numbers (Bottom of Page)"/>
        <w:docPartUnique/>
      </w:docPartObj>
    </w:sdtPr>
    <w:sdtEndPr>
      <w:rPr>
        <w:noProof/>
      </w:rPr>
    </w:sdtEndPr>
    <w:sdtContent>
      <w:p w14:paraId="77105FC7" w14:textId="77777777" w:rsidR="00FF5C7B" w:rsidRDefault="00155087" w:rsidP="00155087">
        <w:pPr>
          <w:pStyle w:val="Footer"/>
          <w:jc w:val="right"/>
        </w:pPr>
        <w:r>
          <w:t>Equipment and Room Usage Policy</w:t>
        </w:r>
        <w:r w:rsidR="00FF5C7B">
          <w:t xml:space="preserve"> | </w:t>
        </w:r>
        <w:r w:rsidR="00FF5C7B">
          <w:fldChar w:fldCharType="begin"/>
        </w:r>
        <w:r w:rsidR="00FF5C7B">
          <w:instrText xml:space="preserve"> PAGE   \* MERGEFORMAT </w:instrText>
        </w:r>
        <w:r w:rsidR="00FF5C7B">
          <w:fldChar w:fldCharType="separate"/>
        </w:r>
        <w:r w:rsidR="00997B38">
          <w:rPr>
            <w:noProof/>
          </w:rPr>
          <w:t>1</w:t>
        </w:r>
        <w:r w:rsidR="00FF5C7B">
          <w:rPr>
            <w:noProof/>
          </w:rPr>
          <w:fldChar w:fldCharType="end"/>
        </w:r>
      </w:p>
    </w:sdtContent>
  </w:sdt>
  <w:p w14:paraId="4A374B14" w14:textId="77777777" w:rsidR="00FF5C7B" w:rsidRDefault="00FF5C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AF1C9" w14:textId="77777777" w:rsidR="00FF5C7B" w:rsidRDefault="00997B38"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14:paraId="254A92E6" w14:textId="77777777" w:rsidR="00FF5C7B" w:rsidRDefault="00FF5C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0A25C" w14:textId="77777777" w:rsidR="00997B38" w:rsidRDefault="00997B38" w:rsidP="0033193B">
      <w:pPr>
        <w:spacing w:after="0"/>
      </w:pPr>
      <w:r>
        <w:separator/>
      </w:r>
    </w:p>
  </w:footnote>
  <w:footnote w:type="continuationSeparator" w:id="0">
    <w:p w14:paraId="6E38357D" w14:textId="77777777" w:rsidR="00997B38" w:rsidRDefault="00997B38" w:rsidP="0033193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D670C" w14:textId="77777777" w:rsidR="00B70DF3" w:rsidRDefault="00B70DF3">
    <w:pPr>
      <w:pStyle w:val="Header"/>
    </w:pPr>
    <w:r>
      <w:rPr>
        <w:noProof/>
        <w:lang w:val="en-GB" w:eastAsia="en-GB"/>
      </w:rPr>
      <w:drawing>
        <wp:anchor distT="0" distB="0" distL="114300" distR="114300" simplePos="0" relativeHeight="251669504" behindDoc="0" locked="0" layoutInCell="1" allowOverlap="1" wp14:anchorId="2B683C2E" wp14:editId="58D97D8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nsid w:val="15702D24"/>
    <w:multiLevelType w:val="multilevel"/>
    <w:tmpl w:val="02E2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67F03D2"/>
    <w:multiLevelType w:val="multilevel"/>
    <w:tmpl w:val="898A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E83925"/>
    <w:multiLevelType w:val="multilevel"/>
    <w:tmpl w:val="014A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7">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8">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B6E3B32"/>
    <w:multiLevelType w:val="multilevel"/>
    <w:tmpl w:val="800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B81227"/>
    <w:multiLevelType w:val="multilevel"/>
    <w:tmpl w:val="498E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2"/>
  </w:num>
  <w:num w:numId="2">
    <w:abstractNumId w:val="12"/>
  </w:num>
  <w:num w:numId="3">
    <w:abstractNumId w:val="12"/>
  </w:num>
  <w:num w:numId="4">
    <w:abstractNumId w:val="20"/>
  </w:num>
  <w:num w:numId="5">
    <w:abstractNumId w:val="20"/>
  </w:num>
  <w:num w:numId="6">
    <w:abstractNumId w:val="20"/>
  </w:num>
  <w:num w:numId="7">
    <w:abstractNumId w:val="20"/>
  </w:num>
  <w:num w:numId="8">
    <w:abstractNumId w:val="20"/>
  </w:num>
  <w:num w:numId="9">
    <w:abstractNumId w:val="20"/>
  </w:num>
  <w:num w:numId="10">
    <w:abstractNumId w:val="17"/>
  </w:num>
  <w:num w:numId="11">
    <w:abstractNumId w:val="5"/>
  </w:num>
  <w:num w:numId="12">
    <w:abstractNumId w:val="15"/>
  </w:num>
  <w:num w:numId="13">
    <w:abstractNumId w:val="18"/>
  </w:num>
  <w:num w:numId="14">
    <w:abstractNumId w:val="7"/>
  </w:num>
  <w:num w:numId="15">
    <w:abstractNumId w:val="9"/>
  </w:num>
  <w:num w:numId="16">
    <w:abstractNumId w:val="7"/>
    <w:lvlOverride w:ilvl="0">
      <w:startOverride w:val="9"/>
    </w:lvlOverride>
  </w:num>
  <w:num w:numId="17">
    <w:abstractNumId w:val="2"/>
  </w:num>
  <w:num w:numId="18">
    <w:abstractNumId w:val="10"/>
  </w:num>
  <w:num w:numId="19">
    <w:abstractNumId w:val="0"/>
  </w:num>
  <w:num w:numId="20">
    <w:abstractNumId w:val="24"/>
  </w:num>
  <w:num w:numId="21">
    <w:abstractNumId w:val="3"/>
  </w:num>
  <w:num w:numId="22">
    <w:abstractNumId w:val="19"/>
  </w:num>
  <w:num w:numId="23">
    <w:abstractNumId w:val="23"/>
  </w:num>
  <w:num w:numId="24">
    <w:abstractNumId w:val="16"/>
  </w:num>
  <w:num w:numId="25">
    <w:abstractNumId w:val="13"/>
  </w:num>
  <w:num w:numId="26">
    <w:abstractNumId w:val="11"/>
  </w:num>
  <w:num w:numId="27">
    <w:abstractNumId w:val="8"/>
  </w:num>
  <w:num w:numId="28">
    <w:abstractNumId w:val="1"/>
  </w:num>
  <w:num w:numId="29">
    <w:abstractNumId w:val="6"/>
  </w:num>
  <w:num w:numId="30">
    <w:abstractNumId w:val="14"/>
  </w:num>
  <w:num w:numId="31">
    <w:abstractNumId w:val="22"/>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87"/>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5087"/>
    <w:rsid w:val="00156861"/>
    <w:rsid w:val="001762D1"/>
    <w:rsid w:val="0017741F"/>
    <w:rsid w:val="00196B6D"/>
    <w:rsid w:val="001D47E1"/>
    <w:rsid w:val="001D4E2F"/>
    <w:rsid w:val="0020056E"/>
    <w:rsid w:val="002058D2"/>
    <w:rsid w:val="00264A90"/>
    <w:rsid w:val="00290F52"/>
    <w:rsid w:val="00294F03"/>
    <w:rsid w:val="002A7E6E"/>
    <w:rsid w:val="002C408E"/>
    <w:rsid w:val="002F61B8"/>
    <w:rsid w:val="003020B3"/>
    <w:rsid w:val="00324639"/>
    <w:rsid w:val="0033193B"/>
    <w:rsid w:val="003413D3"/>
    <w:rsid w:val="00376164"/>
    <w:rsid w:val="00380D08"/>
    <w:rsid w:val="00385419"/>
    <w:rsid w:val="003D1CBB"/>
    <w:rsid w:val="0041540A"/>
    <w:rsid w:val="00415842"/>
    <w:rsid w:val="004209E7"/>
    <w:rsid w:val="0042281C"/>
    <w:rsid w:val="0047794F"/>
    <w:rsid w:val="004A45F8"/>
    <w:rsid w:val="004F2E1F"/>
    <w:rsid w:val="0055155F"/>
    <w:rsid w:val="00565A9C"/>
    <w:rsid w:val="005819D7"/>
    <w:rsid w:val="005F0418"/>
    <w:rsid w:val="006071E9"/>
    <w:rsid w:val="006156A0"/>
    <w:rsid w:val="00621FD6"/>
    <w:rsid w:val="00640ECF"/>
    <w:rsid w:val="0066292B"/>
    <w:rsid w:val="00681165"/>
    <w:rsid w:val="006815A6"/>
    <w:rsid w:val="006945DD"/>
    <w:rsid w:val="006974D6"/>
    <w:rsid w:val="006C4955"/>
    <w:rsid w:val="00706DEF"/>
    <w:rsid w:val="00730972"/>
    <w:rsid w:val="007577C8"/>
    <w:rsid w:val="00765EE4"/>
    <w:rsid w:val="00767844"/>
    <w:rsid w:val="00767E42"/>
    <w:rsid w:val="007738DC"/>
    <w:rsid w:val="00781635"/>
    <w:rsid w:val="007A0DEB"/>
    <w:rsid w:val="007B45AE"/>
    <w:rsid w:val="007B7605"/>
    <w:rsid w:val="007D0088"/>
    <w:rsid w:val="007D2C91"/>
    <w:rsid w:val="00803330"/>
    <w:rsid w:val="00807DD4"/>
    <w:rsid w:val="0082455E"/>
    <w:rsid w:val="00836BF7"/>
    <w:rsid w:val="00850F42"/>
    <w:rsid w:val="00853B78"/>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97B38"/>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C33261"/>
    <w:rsid w:val="00C7393A"/>
    <w:rsid w:val="00C96CB7"/>
    <w:rsid w:val="00CB4F67"/>
    <w:rsid w:val="00CB6030"/>
    <w:rsid w:val="00CB60AD"/>
    <w:rsid w:val="00CD342A"/>
    <w:rsid w:val="00CD4BBB"/>
    <w:rsid w:val="00CE06D8"/>
    <w:rsid w:val="00CF3DA1"/>
    <w:rsid w:val="00D0584E"/>
    <w:rsid w:val="00D1729F"/>
    <w:rsid w:val="00D2151A"/>
    <w:rsid w:val="00D23B9C"/>
    <w:rsid w:val="00D301B2"/>
    <w:rsid w:val="00D42D36"/>
    <w:rsid w:val="00D50661"/>
    <w:rsid w:val="00D56996"/>
    <w:rsid w:val="00D638AC"/>
    <w:rsid w:val="00D6749B"/>
    <w:rsid w:val="00DD6041"/>
    <w:rsid w:val="00DE78AB"/>
    <w:rsid w:val="00DF38B4"/>
    <w:rsid w:val="00E00294"/>
    <w:rsid w:val="00E054E9"/>
    <w:rsid w:val="00E1730A"/>
    <w:rsid w:val="00E37FBC"/>
    <w:rsid w:val="00E569DE"/>
    <w:rsid w:val="00E73000"/>
    <w:rsid w:val="00EA4B65"/>
    <w:rsid w:val="00EA63AB"/>
    <w:rsid w:val="00EB50C3"/>
    <w:rsid w:val="00ED6EB2"/>
    <w:rsid w:val="00EE3CA6"/>
    <w:rsid w:val="00F14CCF"/>
    <w:rsid w:val="00F27A20"/>
    <w:rsid w:val="00F317F8"/>
    <w:rsid w:val="00F3465D"/>
    <w:rsid w:val="00F47B9F"/>
    <w:rsid w:val="00F56B96"/>
    <w:rsid w:val="00F8000E"/>
    <w:rsid w:val="00F86488"/>
    <w:rsid w:val="00F90DE6"/>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ABB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82">
    <w:lsdException w:name="Normal" w:locked="0" w:uiPriority="0"/>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qFormat/>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NormalWeb">
    <w:name w:val="Normal (Web)"/>
    <w:basedOn w:val="Normal"/>
    <w:uiPriority w:val="99"/>
    <w:semiHidden/>
    <w:unhideWhenUsed/>
    <w:locked/>
    <w:rsid w:val="00155087"/>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45793">
      <w:bodyDiv w:val="1"/>
      <w:marLeft w:val="0"/>
      <w:marRight w:val="0"/>
      <w:marTop w:val="0"/>
      <w:marBottom w:val="0"/>
      <w:divBdr>
        <w:top w:val="none" w:sz="0" w:space="0" w:color="auto"/>
        <w:left w:val="none" w:sz="0" w:space="0" w:color="auto"/>
        <w:bottom w:val="none" w:sz="0" w:space="0" w:color="auto"/>
        <w:right w:val="none" w:sz="0" w:space="0" w:color="auto"/>
      </w:divBdr>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Word-template_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4ACB-050C-914C-BFEB-4390C318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Word-template_Dec2017.dotx</Template>
  <TotalTime>17</TotalTime>
  <Pages>4</Pages>
  <Words>1103</Words>
  <Characters>6290</Characters>
  <Application>Microsoft Macintosh Word</Application>
  <DocSecurity>0</DocSecurity>
  <Lines>52</Lines>
  <Paragraphs>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Users</vt:lpstr>
      <vt:lpstr>Conduct</vt:lpstr>
      <vt:lpstr>    Users of Monash University Performing Arts Centre must:</vt:lpstr>
      <vt:lpstr>Use of PAC materials</vt:lpstr>
      <vt:lpstr>    Terms of use for electronic resources</vt:lpstr>
      <vt:lpstr>    Terms of use for other materials</vt:lpstr>
      <vt:lpstr>Borrowing Materials</vt:lpstr>
      <vt:lpstr>Fees and fines</vt:lpstr>
      <vt:lpstr>Exclusion</vt:lpstr>
      <vt:lpstr>Delegation</vt:lpstr>
      <vt:lpstr>Communication</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2017-02-16T00:07:00Z</cp:lastPrinted>
  <dcterms:created xsi:type="dcterms:W3CDTF">2019-06-18T12:31:00Z</dcterms:created>
  <dcterms:modified xsi:type="dcterms:W3CDTF">2019-06-18T12:49:00Z</dcterms:modified>
</cp:coreProperties>
</file>