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DDEE9" w14:textId="77777777" w:rsidR="00955E3A" w:rsidRPr="00955E3A" w:rsidRDefault="00010E17" w:rsidP="00D4097A">
      <w:pPr>
        <w:pStyle w:val="MUBodyText"/>
        <w:jc w:val="both"/>
      </w:pPr>
      <w:r w:rsidRPr="00681165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5C3458" wp14:editId="0CCC444E">
                <wp:simplePos x="0" y="0"/>
                <wp:positionH relativeFrom="column">
                  <wp:posOffset>-577215</wp:posOffset>
                </wp:positionH>
                <wp:positionV relativeFrom="paragraph">
                  <wp:posOffset>3175</wp:posOffset>
                </wp:positionV>
                <wp:extent cx="6172200" cy="14668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B8F0D" w14:textId="77777777" w:rsidR="00F41F59" w:rsidRPr="00F41F59" w:rsidRDefault="00F41F59" w:rsidP="009006B3">
                            <w:pPr>
                              <w:pStyle w:val="Headeroption1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41F59">
                              <w:rPr>
                                <w:b/>
                                <w:sz w:val="48"/>
                                <w:szCs w:val="48"/>
                              </w:rPr>
                              <w:t>ACADEMIC PROGRAMS AND GOVERNANCE</w:t>
                            </w:r>
                          </w:p>
                          <w:p w14:paraId="680BB512" w14:textId="77777777" w:rsidR="00CD342A" w:rsidRDefault="00010E17" w:rsidP="009006B3">
                            <w:pPr>
                              <w:pStyle w:val="Headeroption1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WHO APPROVES WHAT</w:t>
                            </w:r>
                          </w:p>
                          <w:p w14:paraId="242E5B18" w14:textId="77777777" w:rsidR="007E31C5" w:rsidRDefault="007E31C5" w:rsidP="009006B3">
                            <w:pPr>
                              <w:pStyle w:val="Headeroption1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Deciding who approves particular types of </w:t>
                            </w:r>
                          </w:p>
                          <w:p w14:paraId="21695C3F" w14:textId="77777777" w:rsidR="007E31C5" w:rsidRPr="00F41F59" w:rsidRDefault="007E31C5" w:rsidP="009006B3">
                            <w:pPr>
                              <w:pStyle w:val="Headeroption1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course proposals</w:t>
                            </w:r>
                          </w:p>
                          <w:p w14:paraId="62049D06" w14:textId="77777777" w:rsidR="00CD342A" w:rsidRPr="00681165" w:rsidRDefault="00CD342A" w:rsidP="0068116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C3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45pt;margin-top:.25pt;width:486pt;height:11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" filled="f" stroked="f">
                <v:textbox>
                  <w:txbxContent>
                    <w:p w14:paraId="1EDB8F0D" w14:textId="77777777" w:rsidR="00F41F59" w:rsidRPr="00F41F59" w:rsidRDefault="00F41F59" w:rsidP="009006B3">
                      <w:pPr>
                        <w:pStyle w:val="Headeroption1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F41F59">
                        <w:rPr>
                          <w:b/>
                          <w:sz w:val="48"/>
                          <w:szCs w:val="48"/>
                        </w:rPr>
                        <w:t>ACADEMIC PROGRAMS AND GOVERNANCE</w:t>
                      </w:r>
                    </w:p>
                    <w:p w14:paraId="680BB512" w14:textId="77777777" w:rsidR="00CD342A" w:rsidRDefault="00010E17" w:rsidP="009006B3">
                      <w:pPr>
                        <w:pStyle w:val="Headeroption1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WHO APPROVES WHAT</w:t>
                      </w:r>
                    </w:p>
                    <w:p w14:paraId="242E5B18" w14:textId="77777777" w:rsidR="007E31C5" w:rsidRDefault="007E31C5" w:rsidP="009006B3">
                      <w:pPr>
                        <w:pStyle w:val="Headeroption1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Deciding who approves particular types of </w:t>
                      </w:r>
                    </w:p>
                    <w:p w14:paraId="21695C3F" w14:textId="77777777" w:rsidR="007E31C5" w:rsidRPr="00F41F59" w:rsidRDefault="007E31C5" w:rsidP="009006B3">
                      <w:pPr>
                        <w:pStyle w:val="Headeroption1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course proposals</w:t>
                      </w:r>
                    </w:p>
                    <w:p w14:paraId="62049D06" w14:textId="77777777" w:rsidR="00CD342A" w:rsidRPr="00681165" w:rsidRDefault="00CD342A" w:rsidP="0068116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1F59" w:rsidRPr="008F4994">
        <w:rPr>
          <w:noProof/>
          <w:lang w:val="en-AU" w:eastAsia="zh-CN"/>
        </w:rPr>
        <w:drawing>
          <wp:anchor distT="0" distB="0" distL="114300" distR="114300" simplePos="0" relativeHeight="251660542" behindDoc="0" locked="0" layoutInCell="1" allowOverlap="1" wp14:anchorId="4B6C1117" wp14:editId="0BD88962">
            <wp:simplePos x="0" y="0"/>
            <wp:positionH relativeFrom="margin">
              <wp:align>center</wp:align>
            </wp:positionH>
            <wp:positionV relativeFrom="paragraph">
              <wp:posOffset>-1065530</wp:posOffset>
            </wp:positionV>
            <wp:extent cx="7279200" cy="2545200"/>
            <wp:effectExtent l="0" t="0" r="0" b="7620"/>
            <wp:wrapNone/>
            <wp:docPr id="5" name="Picture 5" descr="S:\ADM-MPA-OMC\SMC-Requests\SMC Resources\TEMPLATES\Word template\Word template banners_v2\Banne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ADM-MPA-OMC\SMC-Requests\SMC Resources\TEMPLATES\Word template\Word template banners_v2\Banner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40A" w:rsidRPr="0041540A"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0D1B28E8" wp14:editId="65FCF783">
            <wp:simplePos x="0" y="0"/>
            <wp:positionH relativeFrom="margin">
              <wp:posOffset>-34290</wp:posOffset>
            </wp:positionH>
            <wp:positionV relativeFrom="paragraph">
              <wp:posOffset>-770255</wp:posOffset>
            </wp:positionV>
            <wp:extent cx="1600200" cy="463945"/>
            <wp:effectExtent l="0" t="0" r="0" b="0"/>
            <wp:wrapNone/>
            <wp:docPr id="1" name="Picture 1" descr="\\ad.monash.edu\home\User084\sibyls\Documents\Brand Guidelines\Logos\2016-Monash_2-reversedKEYLINE_TO SEND 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monash.edu\home\User084\sibyls\Documents\Brand Guidelines\Logos\2016-Monash_2-reversedKEYLINE_TO SEND O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94">
        <w:rPr>
          <w:noProof/>
          <w:lang w:eastAsia="zh-CN"/>
        </w:rPr>
        <w:t>-</w:t>
      </w:r>
    </w:p>
    <w:p w14:paraId="148D76D6" w14:textId="77777777" w:rsidR="00955E3A" w:rsidRPr="00955E3A" w:rsidRDefault="00955E3A" w:rsidP="00955E3A">
      <w:pPr>
        <w:rPr>
          <w:lang w:val="en-US"/>
        </w:rPr>
      </w:pPr>
    </w:p>
    <w:p w14:paraId="1214A971" w14:textId="77777777" w:rsidR="00955E3A" w:rsidRPr="00955E3A" w:rsidRDefault="00955E3A" w:rsidP="00955E3A">
      <w:pPr>
        <w:rPr>
          <w:lang w:val="en-US"/>
        </w:rPr>
      </w:pPr>
    </w:p>
    <w:p w14:paraId="3DB50248" w14:textId="77777777" w:rsidR="00955E3A" w:rsidRPr="00955E3A" w:rsidRDefault="00955E3A" w:rsidP="00955E3A">
      <w:pPr>
        <w:rPr>
          <w:lang w:val="en-US"/>
        </w:rPr>
      </w:pPr>
    </w:p>
    <w:p w14:paraId="642560C4" w14:textId="77777777" w:rsidR="00955E3A" w:rsidRPr="00955E3A" w:rsidRDefault="00955E3A" w:rsidP="00955E3A">
      <w:pPr>
        <w:rPr>
          <w:lang w:val="en-US"/>
        </w:rPr>
      </w:pPr>
    </w:p>
    <w:p w14:paraId="08FE2C87" w14:textId="77777777" w:rsidR="00955E3A" w:rsidRDefault="002C408E" w:rsidP="002C408E">
      <w:pPr>
        <w:tabs>
          <w:tab w:val="left" w:pos="1830"/>
        </w:tabs>
        <w:rPr>
          <w:lang w:val="en-US"/>
        </w:rPr>
      </w:pPr>
      <w:r>
        <w:rPr>
          <w:lang w:val="en-US"/>
        </w:rPr>
        <w:tab/>
      </w:r>
    </w:p>
    <w:p w14:paraId="19FEEB0C" w14:textId="77777777" w:rsidR="00F41F59" w:rsidRPr="00974633" w:rsidRDefault="00F41F59" w:rsidP="00955E3A">
      <w:pPr>
        <w:pStyle w:val="Heading11"/>
        <w:rPr>
          <w:sz w:val="20"/>
          <w:szCs w:val="20"/>
        </w:rPr>
      </w:pPr>
    </w:p>
    <w:p w14:paraId="638BE115" w14:textId="6D5C1626" w:rsidR="007E31C5" w:rsidRPr="00974633" w:rsidRDefault="007E31C5" w:rsidP="007E31C5">
      <w:pPr>
        <w:rPr>
          <w:rFonts w:cs="Arial"/>
          <w:b/>
          <w:color w:val="2F5496" w:themeColor="accent5" w:themeShade="BF"/>
          <w:sz w:val="44"/>
          <w:szCs w:val="44"/>
        </w:rPr>
      </w:pPr>
      <w:r w:rsidRPr="00974633">
        <w:rPr>
          <w:rFonts w:cs="Arial"/>
          <w:b/>
          <w:color w:val="2F5496" w:themeColor="accent5" w:themeShade="BF"/>
          <w:sz w:val="44"/>
          <w:szCs w:val="44"/>
        </w:rPr>
        <w:t>P</w:t>
      </w:r>
      <w:r w:rsidR="00974633" w:rsidRPr="00974633">
        <w:rPr>
          <w:rFonts w:cs="Arial"/>
          <w:b/>
          <w:color w:val="2F5496" w:themeColor="accent5" w:themeShade="BF"/>
          <w:sz w:val="44"/>
          <w:szCs w:val="44"/>
        </w:rPr>
        <w:t>rinciples</w:t>
      </w:r>
    </w:p>
    <w:p w14:paraId="0846C58A" w14:textId="77777777" w:rsidR="007E31C5" w:rsidRPr="00D777A1" w:rsidRDefault="007E31C5" w:rsidP="007E31C5">
      <w:pPr>
        <w:tabs>
          <w:tab w:val="left" w:pos="2682"/>
        </w:tabs>
        <w:spacing w:before="120"/>
        <w:rPr>
          <w:rFonts w:ascii="Arial" w:hAnsi="Arial" w:cs="Arial"/>
          <w:bCs/>
          <w:sz w:val="22"/>
          <w:szCs w:val="22"/>
        </w:rPr>
      </w:pPr>
      <w:r w:rsidRPr="00D777A1">
        <w:rPr>
          <w:rFonts w:ascii="Arial" w:hAnsi="Arial" w:cs="Arial"/>
          <w:bCs/>
          <w:sz w:val="22"/>
          <w:szCs w:val="22"/>
        </w:rPr>
        <w:t xml:space="preserve">The approvals required for course amendments are determined using the principles outlined in the </w:t>
      </w:r>
      <w:hyperlink r:id="rId10" w:history="1">
        <w:r w:rsidRPr="00E72483">
          <w:rPr>
            <w:rStyle w:val="Hyperlink"/>
            <w:rFonts w:ascii="Arial" w:hAnsi="Arial" w:cs="Arial"/>
            <w:sz w:val="22"/>
            <w:szCs w:val="22"/>
          </w:rPr>
          <w:t>Course</w:t>
        </w:r>
        <w:r w:rsidR="00E72483" w:rsidRPr="00E72483">
          <w:rPr>
            <w:rStyle w:val="Hyperlink"/>
            <w:rFonts w:ascii="Arial" w:hAnsi="Arial" w:cs="Arial"/>
            <w:sz w:val="22"/>
            <w:szCs w:val="22"/>
          </w:rPr>
          <w:t>s</w:t>
        </w:r>
        <w:r w:rsidRPr="00E72483">
          <w:rPr>
            <w:rStyle w:val="Hyperlink"/>
            <w:rFonts w:ascii="Arial" w:hAnsi="Arial" w:cs="Arial"/>
            <w:sz w:val="22"/>
            <w:szCs w:val="22"/>
          </w:rPr>
          <w:t xml:space="preserve"> and Unit</w:t>
        </w:r>
        <w:r w:rsidR="00E72483" w:rsidRPr="00E72483">
          <w:rPr>
            <w:rStyle w:val="Hyperlink"/>
            <w:rFonts w:ascii="Arial" w:hAnsi="Arial" w:cs="Arial"/>
            <w:sz w:val="22"/>
            <w:szCs w:val="22"/>
          </w:rPr>
          <w:t>s</w:t>
        </w:r>
        <w:r w:rsidRPr="00E72483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E72483" w:rsidRPr="00E72483">
          <w:rPr>
            <w:rStyle w:val="Hyperlink"/>
            <w:rFonts w:ascii="Arial" w:hAnsi="Arial" w:cs="Arial"/>
            <w:sz w:val="22"/>
            <w:szCs w:val="22"/>
          </w:rPr>
          <w:t>P</w:t>
        </w:r>
        <w:r w:rsidRPr="00E72483">
          <w:rPr>
            <w:rStyle w:val="Hyperlink"/>
            <w:rFonts w:ascii="Arial" w:hAnsi="Arial" w:cs="Arial"/>
            <w:sz w:val="22"/>
            <w:szCs w:val="22"/>
          </w:rPr>
          <w:t>olicy</w:t>
        </w:r>
      </w:hyperlink>
      <w:r w:rsidRPr="00D777A1">
        <w:rPr>
          <w:rFonts w:ascii="Arial" w:hAnsi="Arial" w:cs="Arial"/>
          <w:bCs/>
          <w:sz w:val="22"/>
          <w:szCs w:val="22"/>
        </w:rPr>
        <w:t>:</w:t>
      </w:r>
    </w:p>
    <w:p w14:paraId="1E14E99F" w14:textId="77777777" w:rsidR="007E31C5" w:rsidRPr="00D777A1" w:rsidRDefault="007E31C5" w:rsidP="007E31C5">
      <w:pPr>
        <w:pStyle w:val="ListParagraph"/>
        <w:widowControl/>
        <w:numPr>
          <w:ilvl w:val="0"/>
          <w:numId w:val="28"/>
        </w:numPr>
        <w:autoSpaceDE/>
        <w:autoSpaceDN/>
        <w:spacing w:before="0" w:after="120"/>
        <w:contextualSpacing/>
        <w:rPr>
          <w:rFonts w:ascii="Arial" w:hAnsi="Arial" w:cs="Arial"/>
          <w:bCs/>
        </w:rPr>
      </w:pPr>
      <w:r w:rsidRPr="00D777A1">
        <w:rPr>
          <w:rFonts w:ascii="Arial" w:hAnsi="Arial" w:cs="Arial"/>
          <w:bCs/>
        </w:rPr>
        <w:t xml:space="preserve">Academic Board delegates to Education Committee the responsibility for approval of amendments that are </w:t>
      </w:r>
      <w:r w:rsidRPr="00D777A1">
        <w:rPr>
          <w:rFonts w:ascii="Arial" w:hAnsi="Arial" w:cs="Arial"/>
          <w:bCs/>
        </w:rPr>
        <w:br/>
        <w:t xml:space="preserve">— substantive changes to award titles, </w:t>
      </w:r>
      <w:r w:rsidRPr="00D777A1">
        <w:rPr>
          <w:rFonts w:ascii="Arial" w:hAnsi="Arial" w:cs="Arial"/>
          <w:bCs/>
        </w:rPr>
        <w:br/>
        <w:t xml:space="preserve">— the addition of majors, 'stand-alone' minors or specialisations that involve already existing academic offerings at the proposed site of offer, </w:t>
      </w:r>
      <w:r w:rsidRPr="00D777A1">
        <w:rPr>
          <w:rFonts w:ascii="Arial" w:hAnsi="Arial" w:cs="Arial"/>
          <w:bCs/>
        </w:rPr>
        <w:br/>
        <w:t xml:space="preserve">— amendments to course outcomes, </w:t>
      </w:r>
      <w:r w:rsidRPr="00D777A1">
        <w:rPr>
          <w:rFonts w:ascii="Arial" w:hAnsi="Arial" w:cs="Arial"/>
          <w:bCs/>
        </w:rPr>
        <w:br/>
        <w:t xml:space="preserve">— amendments to course structures, or </w:t>
      </w:r>
      <w:r w:rsidRPr="00D777A1">
        <w:rPr>
          <w:rFonts w:ascii="Arial" w:hAnsi="Arial" w:cs="Arial"/>
          <w:bCs/>
        </w:rPr>
        <w:br/>
        <w:t xml:space="preserve">— amendments that will affect other parts of the university. </w:t>
      </w:r>
    </w:p>
    <w:p w14:paraId="23532BDD" w14:textId="65C40B16" w:rsidR="007E31C5" w:rsidRPr="00D777A1" w:rsidRDefault="007E31C5" w:rsidP="007E31C5">
      <w:pPr>
        <w:pStyle w:val="ListParagraph"/>
        <w:widowControl/>
        <w:numPr>
          <w:ilvl w:val="0"/>
          <w:numId w:val="28"/>
        </w:numPr>
        <w:autoSpaceDE/>
        <w:autoSpaceDN/>
        <w:spacing w:before="0" w:after="120"/>
        <w:contextualSpacing/>
        <w:rPr>
          <w:rFonts w:ascii="Arial" w:hAnsi="Arial" w:cs="Arial"/>
          <w:bCs/>
        </w:rPr>
      </w:pPr>
      <w:r w:rsidRPr="00D777A1">
        <w:rPr>
          <w:rFonts w:ascii="Arial" w:hAnsi="Arial" w:cs="Arial"/>
          <w:bCs/>
        </w:rPr>
        <w:t>Education Committee will refer to Academic Board any course amendment that it considers may have strategic implications, carries an element of risk to the University</w:t>
      </w:r>
      <w:r w:rsidR="00B20FC9">
        <w:rPr>
          <w:rFonts w:ascii="Arial" w:hAnsi="Arial" w:cs="Arial"/>
          <w:bCs/>
        </w:rPr>
        <w:t>,</w:t>
      </w:r>
      <w:r w:rsidRPr="00D777A1">
        <w:rPr>
          <w:rFonts w:ascii="Arial" w:hAnsi="Arial" w:cs="Arial"/>
          <w:bCs/>
        </w:rPr>
        <w:t xml:space="preserve"> or where an exemption from policy is required.</w:t>
      </w:r>
    </w:p>
    <w:p w14:paraId="48C6927A" w14:textId="13E8F371" w:rsidR="007E31C5" w:rsidRPr="00D777A1" w:rsidRDefault="007E31C5" w:rsidP="007E31C5">
      <w:pPr>
        <w:pStyle w:val="ListParagraph"/>
        <w:widowControl/>
        <w:numPr>
          <w:ilvl w:val="0"/>
          <w:numId w:val="28"/>
        </w:numPr>
        <w:autoSpaceDE/>
        <w:autoSpaceDN/>
        <w:spacing w:before="0" w:after="120"/>
        <w:contextualSpacing/>
        <w:rPr>
          <w:rFonts w:ascii="Arial" w:hAnsi="Arial" w:cs="Arial"/>
          <w:bCs/>
        </w:rPr>
      </w:pPr>
      <w:r w:rsidRPr="00D777A1">
        <w:rPr>
          <w:rFonts w:ascii="Arial" w:hAnsi="Arial" w:cs="Arial"/>
          <w:bCs/>
        </w:rPr>
        <w:t>Academic Board delegates the responsibility for approval of other course amendments to the Dean (or delegate) of the degree awarding faculty. For any course amendments where a double degree is involved, the Dean (or delegate) is required to consult with any partner faculties</w:t>
      </w:r>
      <w:r w:rsidR="00FB3A11">
        <w:rPr>
          <w:rFonts w:ascii="Arial" w:hAnsi="Arial" w:cs="Arial"/>
          <w:bCs/>
        </w:rPr>
        <w:t>, including overseas locations,</w:t>
      </w:r>
      <w:r w:rsidRPr="00D777A1">
        <w:rPr>
          <w:rFonts w:ascii="Arial" w:hAnsi="Arial" w:cs="Arial"/>
          <w:bCs/>
        </w:rPr>
        <w:t xml:space="preserve"> and provide a report on the amendment to Education Committee, in the manner specified in the </w:t>
      </w:r>
      <w:hyperlink r:id="rId11" w:history="1">
        <w:r w:rsidRPr="00E72483">
          <w:rPr>
            <w:rStyle w:val="Hyperlink"/>
            <w:rFonts w:ascii="Arial" w:hAnsi="Arial" w:cs="Arial"/>
          </w:rPr>
          <w:t>Course Accreditation Procedure</w:t>
        </w:r>
      </w:hyperlink>
      <w:r w:rsidRPr="00D777A1">
        <w:rPr>
          <w:rFonts w:ascii="Arial" w:hAnsi="Arial" w:cs="Arial"/>
          <w:bCs/>
        </w:rPr>
        <w:t>.</w:t>
      </w:r>
    </w:p>
    <w:p w14:paraId="04EE4052" w14:textId="77777777" w:rsidR="007E31C5" w:rsidRPr="00D777A1" w:rsidRDefault="007E31C5" w:rsidP="007E31C5">
      <w:pPr>
        <w:pStyle w:val="ListParagraph"/>
        <w:widowControl/>
        <w:numPr>
          <w:ilvl w:val="0"/>
          <w:numId w:val="28"/>
        </w:numPr>
        <w:autoSpaceDE/>
        <w:autoSpaceDN/>
        <w:spacing w:before="0" w:after="120"/>
        <w:contextualSpacing/>
        <w:rPr>
          <w:rFonts w:ascii="Arial" w:hAnsi="Arial" w:cs="Arial"/>
          <w:bCs/>
        </w:rPr>
      </w:pPr>
      <w:r w:rsidRPr="00D777A1">
        <w:rPr>
          <w:rFonts w:ascii="Arial" w:hAnsi="Arial" w:cs="Arial"/>
          <w:bCs/>
        </w:rPr>
        <w:t>The Chair of Education Committee will determine the necessary approval where an interpretation of the policy is required for a particular amendment.</w:t>
      </w:r>
    </w:p>
    <w:p w14:paraId="43262FC7" w14:textId="77777777" w:rsidR="007E31C5" w:rsidRPr="00D777A1" w:rsidRDefault="007E31C5" w:rsidP="007E31C5">
      <w:pPr>
        <w:rPr>
          <w:rFonts w:ascii="Arial" w:hAnsi="Arial" w:cs="Arial"/>
          <w:sz w:val="22"/>
          <w:szCs w:val="22"/>
        </w:rPr>
      </w:pPr>
      <w:r w:rsidRPr="00D777A1">
        <w:rPr>
          <w:rFonts w:ascii="Arial" w:hAnsi="Arial" w:cs="Arial"/>
          <w:bCs/>
          <w:sz w:val="22"/>
          <w:szCs w:val="22"/>
        </w:rPr>
        <w:t>In addition to the above, the Deputy Vice Chancellor’s approval (or delegate) of a Business Case may be required for amendments that may have an impact across the University.</w:t>
      </w:r>
    </w:p>
    <w:p w14:paraId="2B03C2A8" w14:textId="77777777" w:rsidR="007E31C5" w:rsidRPr="00D777A1" w:rsidRDefault="007E31C5" w:rsidP="007E31C5">
      <w:pPr>
        <w:rPr>
          <w:rFonts w:ascii="Arial" w:hAnsi="Arial" w:cs="Arial"/>
          <w:sz w:val="22"/>
          <w:szCs w:val="22"/>
        </w:rPr>
      </w:pPr>
      <w:r w:rsidRPr="00D777A1">
        <w:rPr>
          <w:rFonts w:ascii="Arial" w:hAnsi="Arial" w:cs="Arial"/>
          <w:sz w:val="22"/>
          <w:szCs w:val="22"/>
        </w:rPr>
        <w:t>The below outlines how these principles are used.</w:t>
      </w:r>
    </w:p>
    <w:p w14:paraId="4A4F66F2" w14:textId="77777777" w:rsidR="007E31C5" w:rsidRPr="00D777A1" w:rsidRDefault="007E31C5" w:rsidP="007E31C5">
      <w:pPr>
        <w:rPr>
          <w:rFonts w:ascii="Arial" w:hAnsi="Arial" w:cs="Arial"/>
          <w:sz w:val="22"/>
          <w:szCs w:val="22"/>
          <w:u w:val="single"/>
        </w:rPr>
      </w:pPr>
      <w:r w:rsidRPr="00D777A1">
        <w:rPr>
          <w:rFonts w:ascii="Arial" w:hAnsi="Arial" w:cs="Arial"/>
          <w:sz w:val="22"/>
          <w:szCs w:val="22"/>
          <w:u w:val="single"/>
        </w:rPr>
        <w:t>Notes:</w:t>
      </w:r>
    </w:p>
    <w:p w14:paraId="632D296E" w14:textId="77777777" w:rsidR="007E31C5" w:rsidRPr="00D777A1" w:rsidRDefault="007E31C5" w:rsidP="007E31C5">
      <w:pPr>
        <w:pStyle w:val="ListParagraph"/>
        <w:widowControl/>
        <w:numPr>
          <w:ilvl w:val="0"/>
          <w:numId w:val="29"/>
        </w:numPr>
        <w:autoSpaceDE/>
        <w:autoSpaceDN/>
        <w:spacing w:before="0" w:after="120"/>
        <w:ind w:left="284" w:hanging="284"/>
        <w:contextualSpacing/>
        <w:rPr>
          <w:rFonts w:ascii="Arial" w:hAnsi="Arial" w:cs="Arial"/>
        </w:rPr>
      </w:pPr>
      <w:r w:rsidRPr="00D777A1">
        <w:rPr>
          <w:rFonts w:ascii="Arial" w:hAnsi="Arial" w:cs="Arial"/>
        </w:rPr>
        <w:t>Dean (or delegate) means Dean (or delegate) of the degree awarding faculty (unless otherwise specified).</w:t>
      </w:r>
    </w:p>
    <w:p w14:paraId="569B40CB" w14:textId="77777777" w:rsidR="007E31C5" w:rsidRPr="00D777A1" w:rsidRDefault="007E31C5" w:rsidP="007E31C5">
      <w:pPr>
        <w:pStyle w:val="ListParagraph"/>
        <w:widowControl/>
        <w:numPr>
          <w:ilvl w:val="0"/>
          <w:numId w:val="29"/>
        </w:numPr>
        <w:autoSpaceDE/>
        <w:autoSpaceDN/>
        <w:spacing w:before="0" w:after="120"/>
        <w:ind w:left="284" w:hanging="284"/>
        <w:contextualSpacing/>
        <w:rPr>
          <w:rFonts w:ascii="Arial" w:hAnsi="Arial" w:cs="Arial"/>
        </w:rPr>
      </w:pPr>
      <w:r w:rsidRPr="00D777A1">
        <w:rPr>
          <w:rFonts w:ascii="Arial" w:hAnsi="Arial" w:cs="Arial"/>
        </w:rPr>
        <w:t>All proposals must be endorsed by the Dean(s) (or delegate(s)) before submission.</w:t>
      </w:r>
    </w:p>
    <w:p w14:paraId="1D1191CD" w14:textId="77777777" w:rsidR="007E31C5" w:rsidRPr="00D777A1" w:rsidRDefault="007E31C5" w:rsidP="007E31C5">
      <w:pPr>
        <w:pStyle w:val="ListParagraph"/>
        <w:widowControl/>
        <w:numPr>
          <w:ilvl w:val="0"/>
          <w:numId w:val="29"/>
        </w:numPr>
        <w:autoSpaceDE/>
        <w:autoSpaceDN/>
        <w:spacing w:before="0" w:after="120"/>
        <w:ind w:left="284" w:hanging="284"/>
        <w:contextualSpacing/>
        <w:rPr>
          <w:rFonts w:ascii="Arial" w:hAnsi="Arial" w:cs="Arial"/>
        </w:rPr>
      </w:pPr>
      <w:r w:rsidRPr="00D777A1">
        <w:rPr>
          <w:rFonts w:ascii="Arial" w:hAnsi="Arial" w:cs="Arial"/>
          <w:bCs/>
        </w:rPr>
        <w:t>Education Committee</w:t>
      </w:r>
      <w:r w:rsidRPr="00D777A1">
        <w:rPr>
          <w:rFonts w:ascii="Arial" w:hAnsi="Arial" w:cs="Arial"/>
        </w:rPr>
        <w:t xml:space="preserve"> is the endorsing body for all amendments requiring Academic Board approval.</w:t>
      </w:r>
    </w:p>
    <w:p w14:paraId="46132815" w14:textId="77777777" w:rsidR="007E31C5" w:rsidRPr="00D777A1" w:rsidRDefault="007E31C5" w:rsidP="007E31C5">
      <w:pPr>
        <w:rPr>
          <w:rFonts w:ascii="Arial" w:hAnsi="Arial" w:cs="Arial"/>
          <w:sz w:val="22"/>
          <w:szCs w:val="22"/>
        </w:rPr>
      </w:pPr>
    </w:p>
    <w:p w14:paraId="67F599D3" w14:textId="77777777" w:rsidR="007E31C5" w:rsidRPr="00D777A1" w:rsidRDefault="007E31C5" w:rsidP="007E31C5">
      <w:pPr>
        <w:rPr>
          <w:rFonts w:ascii="Arial" w:hAnsi="Arial" w:cs="Arial"/>
          <w:b/>
          <w:bCs/>
          <w:sz w:val="22"/>
          <w:szCs w:val="22"/>
        </w:rPr>
      </w:pPr>
      <w:r w:rsidRPr="00D777A1">
        <w:rPr>
          <w:rFonts w:ascii="Arial" w:hAnsi="Arial" w:cs="Arial"/>
          <w:b/>
          <w:bCs/>
          <w:sz w:val="22"/>
          <w:szCs w:val="22"/>
        </w:rPr>
        <w:br w:type="page"/>
      </w:r>
    </w:p>
    <w:p w14:paraId="541B1894" w14:textId="77777777" w:rsidR="007E31C5" w:rsidRPr="00E72483" w:rsidRDefault="007E31C5" w:rsidP="007E31C5">
      <w:pPr>
        <w:spacing w:after="360"/>
        <w:jc w:val="center"/>
        <w:rPr>
          <w:rFonts w:cs="Arial"/>
          <w:b/>
          <w:bCs/>
          <w:color w:val="2F5496" w:themeColor="accent5" w:themeShade="BF"/>
          <w:sz w:val="44"/>
          <w:szCs w:val="44"/>
        </w:rPr>
      </w:pPr>
      <w:r w:rsidRPr="00E72483">
        <w:rPr>
          <w:rFonts w:cs="Arial"/>
          <w:b/>
          <w:color w:val="2F5496" w:themeColor="accent5" w:themeShade="BF"/>
          <w:sz w:val="44"/>
          <w:szCs w:val="44"/>
        </w:rPr>
        <w:lastRenderedPageBreak/>
        <w:t>Who approves which types of course proposals?</w:t>
      </w:r>
    </w:p>
    <w:p w14:paraId="2E8AD94E" w14:textId="77777777" w:rsidR="007E31C5" w:rsidRPr="00D777A1" w:rsidRDefault="007E31C5" w:rsidP="007E31C5">
      <w:pPr>
        <w:spacing w:after="80"/>
        <w:rPr>
          <w:rFonts w:ascii="Arial" w:hAnsi="Arial" w:cs="Arial"/>
          <w:b/>
          <w:bCs/>
          <w:sz w:val="22"/>
          <w:szCs w:val="22"/>
        </w:rPr>
      </w:pPr>
      <w:r w:rsidRPr="00D777A1">
        <w:rPr>
          <w:rFonts w:ascii="Arial" w:hAnsi="Arial" w:cs="Arial"/>
          <w:b/>
          <w:bCs/>
          <w:sz w:val="22"/>
          <w:szCs w:val="22"/>
        </w:rPr>
        <w:t>New proposals, re-accreditation and disestablishment of courses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449"/>
        <w:gridCol w:w="868"/>
        <w:gridCol w:w="1042"/>
        <w:gridCol w:w="651"/>
        <w:gridCol w:w="618"/>
      </w:tblGrid>
      <w:tr w:rsidR="00E72483" w:rsidRPr="00D777A1" w14:paraId="6B62235C" w14:textId="77777777" w:rsidTr="003012BC">
        <w:tc>
          <w:tcPr>
            <w:tcW w:w="3349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FBF62A0" w14:textId="77777777" w:rsidR="007E31C5" w:rsidRPr="00D777A1" w:rsidRDefault="007E31C5" w:rsidP="00680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Type of proposal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0C374D13" w14:textId="09685E0E" w:rsidR="007E31C5" w:rsidRPr="00D777A1" w:rsidRDefault="007E31C5" w:rsidP="00680C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Cs/>
                <w:sz w:val="22"/>
                <w:szCs w:val="22"/>
              </w:rPr>
              <w:t>Dean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4094872D" w14:textId="03ECE29B" w:rsidR="007E31C5" w:rsidRPr="00D777A1" w:rsidRDefault="007E31C5" w:rsidP="00680C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Cs/>
                <w:sz w:val="22"/>
                <w:szCs w:val="22"/>
              </w:rPr>
              <w:t>DVCE</w:t>
            </w:r>
            <w:r w:rsidR="00464A9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D12A8CF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Cs/>
                <w:sz w:val="22"/>
                <w:szCs w:val="22"/>
              </w:rPr>
              <w:t>EC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6FE2D068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Cs/>
                <w:sz w:val="22"/>
                <w:szCs w:val="22"/>
              </w:rPr>
              <w:t>AB</w:t>
            </w:r>
          </w:p>
        </w:tc>
      </w:tr>
      <w:tr w:rsidR="007E31C5" w:rsidRPr="00D777A1" w14:paraId="25FC0FD2" w14:textId="77777777" w:rsidTr="003012BC">
        <w:tc>
          <w:tcPr>
            <w:tcW w:w="3349" w:type="pct"/>
            <w:shd w:val="clear" w:color="auto" w:fill="auto"/>
          </w:tcPr>
          <w:p w14:paraId="2EF36ABF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Introduction of a new course; major, 'stand-alone' minor, specialisation in a new field; offering in a new location at which the area of study is not established; or new partnership </w:t>
            </w:r>
          </w:p>
        </w:tc>
        <w:tc>
          <w:tcPr>
            <w:tcW w:w="451" w:type="pct"/>
            <w:shd w:val="clear" w:color="auto" w:fill="auto"/>
          </w:tcPr>
          <w:p w14:paraId="4B52F1A2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pct"/>
          </w:tcPr>
          <w:p w14:paraId="480CC24C" w14:textId="6E41C9C5" w:rsidR="007E31C5" w:rsidRPr="00D777A1" w:rsidDel="009D08E4" w:rsidRDefault="00AD647E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0C559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38" w:type="pct"/>
          </w:tcPr>
          <w:p w14:paraId="2C86AD69" w14:textId="77777777" w:rsidR="007E31C5" w:rsidRPr="00D777A1" w:rsidDel="009D08E4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</w:tcPr>
          <w:p w14:paraId="45B759C7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31C5" w:rsidRPr="00D777A1" w14:paraId="0CE7F9EC" w14:textId="77777777" w:rsidTr="003012BC">
        <w:tc>
          <w:tcPr>
            <w:tcW w:w="3349" w:type="pct"/>
            <w:shd w:val="clear" w:color="auto" w:fill="auto"/>
          </w:tcPr>
          <w:p w14:paraId="51F7ADAD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Introduction of a new double degree combination of two existing courses</w:t>
            </w:r>
          </w:p>
        </w:tc>
        <w:tc>
          <w:tcPr>
            <w:tcW w:w="451" w:type="pct"/>
            <w:shd w:val="clear" w:color="auto" w:fill="auto"/>
          </w:tcPr>
          <w:p w14:paraId="25CE9D24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pct"/>
          </w:tcPr>
          <w:p w14:paraId="026F3903" w14:textId="743D49F7" w:rsidR="007E31C5" w:rsidRPr="00D777A1" w:rsidRDefault="00AD647E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0C559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38" w:type="pct"/>
          </w:tcPr>
          <w:p w14:paraId="7FEACDC6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21" w:type="pct"/>
            <w:shd w:val="clear" w:color="auto" w:fill="auto"/>
          </w:tcPr>
          <w:p w14:paraId="6DE53325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49027A4B" w14:textId="77777777" w:rsidTr="003012BC">
        <w:tc>
          <w:tcPr>
            <w:tcW w:w="3349" w:type="pct"/>
            <w:shd w:val="clear" w:color="auto" w:fill="auto"/>
          </w:tcPr>
          <w:p w14:paraId="3A6B805E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Re-accreditation of a course (with or without amendments)</w:t>
            </w:r>
          </w:p>
        </w:tc>
        <w:tc>
          <w:tcPr>
            <w:tcW w:w="451" w:type="pct"/>
            <w:shd w:val="clear" w:color="auto" w:fill="auto"/>
          </w:tcPr>
          <w:p w14:paraId="49286160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pct"/>
          </w:tcPr>
          <w:p w14:paraId="2D2C87CD" w14:textId="5F952FD1" w:rsidR="007E31C5" w:rsidRPr="00D777A1" w:rsidRDefault="00AD647E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0C559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38" w:type="pct"/>
          </w:tcPr>
          <w:p w14:paraId="20629AD7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</w:tcPr>
          <w:p w14:paraId="01DAFC02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31C5" w:rsidRPr="00D777A1" w14:paraId="33D02AE5" w14:textId="77777777" w:rsidTr="003012BC">
        <w:tc>
          <w:tcPr>
            <w:tcW w:w="3349" w:type="pct"/>
            <w:shd w:val="clear" w:color="auto" w:fill="auto"/>
          </w:tcPr>
          <w:p w14:paraId="7F1A7778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Disestablishment of a course</w:t>
            </w:r>
          </w:p>
        </w:tc>
        <w:tc>
          <w:tcPr>
            <w:tcW w:w="451" w:type="pct"/>
            <w:shd w:val="clear" w:color="auto" w:fill="auto"/>
          </w:tcPr>
          <w:p w14:paraId="356640D6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pct"/>
          </w:tcPr>
          <w:p w14:paraId="2ED23087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38" w:type="pct"/>
          </w:tcPr>
          <w:p w14:paraId="509C7C44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</w:tcPr>
          <w:p w14:paraId="1E5812A6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0A5CB2" w14:textId="77777777" w:rsidR="007E31C5" w:rsidRPr="00D777A1" w:rsidRDefault="007E31C5" w:rsidP="007E31C5">
      <w:pPr>
        <w:spacing w:after="80"/>
        <w:rPr>
          <w:rFonts w:ascii="Arial" w:hAnsi="Arial" w:cs="Arial"/>
          <w:b/>
          <w:bCs/>
          <w:sz w:val="22"/>
          <w:szCs w:val="22"/>
        </w:rPr>
      </w:pPr>
      <w:r w:rsidRPr="00D777A1">
        <w:rPr>
          <w:rFonts w:ascii="Arial" w:hAnsi="Arial" w:cs="Arial"/>
          <w:sz w:val="22"/>
          <w:szCs w:val="22"/>
        </w:rPr>
        <w:br/>
      </w:r>
      <w:r w:rsidRPr="00D777A1">
        <w:rPr>
          <w:rFonts w:ascii="Arial" w:hAnsi="Arial" w:cs="Arial"/>
          <w:b/>
          <w:bCs/>
          <w:sz w:val="22"/>
          <w:szCs w:val="22"/>
        </w:rPr>
        <w:t>Amendments to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6"/>
        <w:gridCol w:w="820"/>
        <w:gridCol w:w="1055"/>
        <w:gridCol w:w="576"/>
        <w:gridCol w:w="701"/>
      </w:tblGrid>
      <w:tr w:rsidR="00E72483" w:rsidRPr="00D777A1" w14:paraId="0EEA8C5C" w14:textId="77777777" w:rsidTr="003012BC">
        <w:trPr>
          <w:tblHeader/>
        </w:trPr>
        <w:tc>
          <w:tcPr>
            <w:tcW w:w="3363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2C92F9C6" w14:textId="77777777" w:rsidR="007E31C5" w:rsidRPr="00D777A1" w:rsidRDefault="007E31C5" w:rsidP="00680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Type of amendment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D84E3FE" w14:textId="31BE0B88" w:rsidR="007E31C5" w:rsidRPr="00D777A1" w:rsidRDefault="007E31C5" w:rsidP="00680C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Cs/>
                <w:sz w:val="22"/>
                <w:szCs w:val="22"/>
              </w:rPr>
              <w:t>Dean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0E2B508F" w14:textId="62CD3539" w:rsidR="007E31C5" w:rsidRPr="00D777A1" w:rsidRDefault="007E31C5" w:rsidP="00680C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Cs/>
                <w:sz w:val="22"/>
                <w:szCs w:val="22"/>
              </w:rPr>
              <w:t>DVCE</w:t>
            </w:r>
            <w:r w:rsidR="00464A9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2EBE23CA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Cs/>
                <w:sz w:val="22"/>
                <w:szCs w:val="22"/>
              </w:rPr>
              <w:t>EC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4F6FCBCE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Cs/>
                <w:sz w:val="22"/>
                <w:szCs w:val="22"/>
              </w:rPr>
              <w:t>AB</w:t>
            </w:r>
          </w:p>
        </w:tc>
      </w:tr>
      <w:tr w:rsidR="007E31C5" w:rsidRPr="00D777A1" w14:paraId="35446688" w14:textId="77777777" w:rsidTr="00680C14">
        <w:tc>
          <w:tcPr>
            <w:tcW w:w="5000" w:type="pct"/>
            <w:gridSpan w:val="5"/>
            <w:shd w:val="clear" w:color="auto" w:fill="A8D08D" w:themeFill="accent6" w:themeFillTint="99"/>
          </w:tcPr>
          <w:p w14:paraId="571755D3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Curriculum</w:t>
            </w:r>
          </w:p>
        </w:tc>
      </w:tr>
      <w:tr w:rsidR="007E31C5" w:rsidRPr="00D777A1" w14:paraId="76C6C06C" w14:textId="77777777" w:rsidTr="003012BC">
        <w:tc>
          <w:tcPr>
            <w:tcW w:w="3363" w:type="pct"/>
          </w:tcPr>
          <w:p w14:paraId="1C1E31F2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course title</w:t>
            </w:r>
          </w:p>
        </w:tc>
        <w:tc>
          <w:tcPr>
            <w:tcW w:w="426" w:type="pct"/>
          </w:tcPr>
          <w:p w14:paraId="4D6ECFC7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F25EE58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5D3572C5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6680D05F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2E9B4B86" w14:textId="77777777" w:rsidTr="003012BC">
        <w:tc>
          <w:tcPr>
            <w:tcW w:w="3363" w:type="pct"/>
          </w:tcPr>
          <w:p w14:paraId="41D0EF5D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course abbreviation</w:t>
            </w:r>
          </w:p>
        </w:tc>
        <w:tc>
          <w:tcPr>
            <w:tcW w:w="426" w:type="pct"/>
          </w:tcPr>
          <w:p w14:paraId="077B8DA4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29F591AA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CE1EC5E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1235A22D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02E4DF3D" w14:textId="77777777" w:rsidTr="003012BC">
        <w:tc>
          <w:tcPr>
            <w:tcW w:w="3363" w:type="pct"/>
          </w:tcPr>
          <w:p w14:paraId="16AD2FD8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Changes to the number of credit points of a course, major, specialisation or exit award </w:t>
            </w:r>
          </w:p>
        </w:tc>
        <w:tc>
          <w:tcPr>
            <w:tcW w:w="426" w:type="pct"/>
          </w:tcPr>
          <w:p w14:paraId="0D1134FC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682A4DE8" w14:textId="77777777" w:rsidR="007E31C5" w:rsidRPr="00D777A1" w:rsidDel="009D4E30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99" w:type="pct"/>
          </w:tcPr>
          <w:p w14:paraId="39FBBD7C" w14:textId="77777777" w:rsidR="007E31C5" w:rsidRPr="00D777A1" w:rsidRDefault="007E31C5" w:rsidP="00680C14">
            <w:pPr>
              <w:keepNext/>
              <w:keepLines/>
              <w:jc w:val="center"/>
              <w:outlineLvl w:val="8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64" w:type="pct"/>
          </w:tcPr>
          <w:p w14:paraId="09A10FB9" w14:textId="77777777" w:rsidR="007E31C5" w:rsidRPr="00D777A1" w:rsidRDefault="007E31C5" w:rsidP="00680C14">
            <w:pPr>
              <w:keepNext/>
              <w:keepLines/>
              <w:jc w:val="center"/>
              <w:outlineLvl w:val="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31C5" w:rsidRPr="00D777A1" w14:paraId="25DDBDA9" w14:textId="77777777" w:rsidTr="003012BC">
        <w:tc>
          <w:tcPr>
            <w:tcW w:w="3363" w:type="pct"/>
          </w:tcPr>
          <w:p w14:paraId="2154CF06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Adding or removing entry options (96, 72, 48 cp) for a Masters course</w:t>
            </w:r>
          </w:p>
        </w:tc>
        <w:tc>
          <w:tcPr>
            <w:tcW w:w="426" w:type="pct"/>
          </w:tcPr>
          <w:p w14:paraId="4D96E4EF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30D987CE" w14:textId="77777777" w:rsidR="007E31C5" w:rsidRPr="00D777A1" w:rsidDel="009D4E30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99" w:type="pct"/>
          </w:tcPr>
          <w:p w14:paraId="243BC1A7" w14:textId="77777777" w:rsidR="007E31C5" w:rsidRPr="00D777A1" w:rsidRDefault="007E31C5" w:rsidP="00680C14">
            <w:pPr>
              <w:keepNext/>
              <w:keepLines/>
              <w:jc w:val="center"/>
              <w:outlineLvl w:val="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2380F903" w14:textId="77777777" w:rsidR="007E31C5" w:rsidRPr="00D777A1" w:rsidRDefault="007E31C5" w:rsidP="00680C14">
            <w:pPr>
              <w:keepNext/>
              <w:keepLines/>
              <w:jc w:val="center"/>
              <w:outlineLvl w:val="8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E31C5" w:rsidRPr="00D777A1" w14:paraId="0D138FB0" w14:textId="77777777" w:rsidTr="003012BC">
        <w:tc>
          <w:tcPr>
            <w:tcW w:w="3363" w:type="pct"/>
          </w:tcPr>
          <w:p w14:paraId="46C1C081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Changes to maximum study duration where the revised maximum course duration is shorter than 2 x standard course duration </w:t>
            </w:r>
          </w:p>
        </w:tc>
        <w:tc>
          <w:tcPr>
            <w:tcW w:w="426" w:type="pct"/>
          </w:tcPr>
          <w:p w14:paraId="1202F2FA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163019B2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E566FF8" w14:textId="77777777" w:rsidR="007E31C5" w:rsidRPr="00D777A1" w:rsidDel="009D08E4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651260AC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29BAE017" w14:textId="77777777" w:rsidTr="003012BC">
        <w:tc>
          <w:tcPr>
            <w:tcW w:w="3363" w:type="pct"/>
          </w:tcPr>
          <w:p w14:paraId="427C0750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maximum study duration where the revised maximum course duration is 2 x the standard course duration, or longer</w:t>
            </w:r>
          </w:p>
        </w:tc>
        <w:tc>
          <w:tcPr>
            <w:tcW w:w="426" w:type="pct"/>
          </w:tcPr>
          <w:p w14:paraId="2B3160A1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2054CECA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708DEE1A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0FF449AB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7EBBD7E7" w14:textId="77777777" w:rsidTr="003012BC">
        <w:tc>
          <w:tcPr>
            <w:tcW w:w="3363" w:type="pct"/>
          </w:tcPr>
          <w:p w14:paraId="0133AA53" w14:textId="77777777" w:rsidR="007E31C5" w:rsidRPr="00D777A1" w:rsidRDefault="007E31C5" w:rsidP="00680C14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course learning outcomes (non-editorial)</w:t>
            </w:r>
          </w:p>
        </w:tc>
        <w:tc>
          <w:tcPr>
            <w:tcW w:w="426" w:type="pct"/>
          </w:tcPr>
          <w:p w14:paraId="3619EF12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1BF552DE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D78DEF9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110EC582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723E4A14" w14:textId="77777777" w:rsidTr="009D63DB">
        <w:tc>
          <w:tcPr>
            <w:tcW w:w="3363" w:type="pct"/>
            <w:shd w:val="clear" w:color="auto" w:fill="E2EFD9" w:themeFill="accent6" w:themeFillTint="33"/>
          </w:tcPr>
          <w:p w14:paraId="0756A44B" w14:textId="77777777" w:rsidR="007E31C5" w:rsidRPr="00D777A1" w:rsidRDefault="007E31C5" w:rsidP="00680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Course requirements:</w:t>
            </w:r>
          </w:p>
        </w:tc>
        <w:tc>
          <w:tcPr>
            <w:tcW w:w="426" w:type="pct"/>
            <w:shd w:val="clear" w:color="auto" w:fill="E2EFD9" w:themeFill="accent6" w:themeFillTint="33"/>
          </w:tcPr>
          <w:p w14:paraId="21E98FF7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E2EFD9" w:themeFill="accent6" w:themeFillTint="33"/>
          </w:tcPr>
          <w:p w14:paraId="1844AB7C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E2EFD9" w:themeFill="accent6" w:themeFillTint="33"/>
          </w:tcPr>
          <w:p w14:paraId="1D7362BB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E2EFD9" w:themeFill="accent6" w:themeFillTint="33"/>
          </w:tcPr>
          <w:p w14:paraId="6E9F59A0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425B96EA" w14:textId="77777777" w:rsidTr="003012BC">
        <w:tc>
          <w:tcPr>
            <w:tcW w:w="3363" w:type="pct"/>
          </w:tcPr>
          <w:p w14:paraId="5AACE450" w14:textId="77777777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Addition or removal of units within a course, major, minor or specialisation</w:t>
            </w:r>
          </w:p>
        </w:tc>
        <w:tc>
          <w:tcPr>
            <w:tcW w:w="426" w:type="pct"/>
          </w:tcPr>
          <w:p w14:paraId="35BFC56D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1905C3D0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0D35B48B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605BF1E4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26A2BCC2" w14:textId="77777777" w:rsidTr="003012BC">
        <w:tc>
          <w:tcPr>
            <w:tcW w:w="3363" w:type="pct"/>
          </w:tcPr>
          <w:p w14:paraId="4EB955BD" w14:textId="2D99B494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Changes to course requirements (required/elective) </w:t>
            </w:r>
            <w:r w:rsidR="005D5DDB">
              <w:rPr>
                <w:rFonts w:ascii="Arial" w:hAnsi="Arial" w:cs="Arial"/>
                <w:sz w:val="22"/>
                <w:szCs w:val="22"/>
              </w:rPr>
              <w:t>and/or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 the course structure</w:t>
            </w:r>
            <w:r w:rsidR="005D5DDB">
              <w:rPr>
                <w:rFonts w:ascii="Arial" w:hAnsi="Arial" w:cs="Arial"/>
                <w:sz w:val="22"/>
                <w:szCs w:val="22"/>
              </w:rPr>
              <w:t xml:space="preserve"> that require course learning outcomes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5DD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85491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5D5DDB">
              <w:rPr>
                <w:rFonts w:ascii="Arial" w:hAnsi="Arial" w:cs="Arial"/>
                <w:sz w:val="22"/>
                <w:szCs w:val="22"/>
              </w:rPr>
              <w:t>re-mapped</w:t>
            </w:r>
          </w:p>
        </w:tc>
        <w:tc>
          <w:tcPr>
            <w:tcW w:w="426" w:type="pct"/>
          </w:tcPr>
          <w:p w14:paraId="371B1F7C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6939A23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078CEC23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444BAFC4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68AFC5F5" w14:textId="77777777" w:rsidTr="003012BC">
        <w:tc>
          <w:tcPr>
            <w:tcW w:w="3363" w:type="pct"/>
          </w:tcPr>
          <w:p w14:paraId="4C302E0D" w14:textId="77777777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the recommended sequencing of units, i.e. the order in which students are recommended to complete units</w:t>
            </w:r>
          </w:p>
        </w:tc>
        <w:tc>
          <w:tcPr>
            <w:tcW w:w="426" w:type="pct"/>
          </w:tcPr>
          <w:p w14:paraId="6F637ED0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5704E673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7209B167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78E79E45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0D6AE8D0" w14:textId="77777777" w:rsidTr="003012BC">
        <w:tc>
          <w:tcPr>
            <w:tcW w:w="3363" w:type="pct"/>
          </w:tcPr>
          <w:p w14:paraId="3A4A42D0" w14:textId="77777777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Introduction of zero credit point requirements e.g. fieldwork, clinical placement or other practical work component</w:t>
            </w:r>
          </w:p>
        </w:tc>
        <w:tc>
          <w:tcPr>
            <w:tcW w:w="426" w:type="pct"/>
          </w:tcPr>
          <w:p w14:paraId="4DF1F43D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5633975C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14427E0A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55EA0266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7F9EC2E8" w14:textId="77777777" w:rsidTr="003012BC">
        <w:tc>
          <w:tcPr>
            <w:tcW w:w="3363" w:type="pct"/>
          </w:tcPr>
          <w:p w14:paraId="59721A4D" w14:textId="77777777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the length or year level of zero credit point requirements e.g. fieldwork, clinical placement or other practical work component</w:t>
            </w:r>
          </w:p>
        </w:tc>
        <w:tc>
          <w:tcPr>
            <w:tcW w:w="426" w:type="pct"/>
          </w:tcPr>
          <w:p w14:paraId="0967D24B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6EFB444F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38788C53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03AC2F49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56014713" w14:textId="77777777" w:rsidTr="003012BC">
        <w:tc>
          <w:tcPr>
            <w:tcW w:w="3363" w:type="pct"/>
          </w:tcPr>
          <w:p w14:paraId="08A831C0" w14:textId="77777777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Special requirements with respect to a double degree</w:t>
            </w:r>
          </w:p>
        </w:tc>
        <w:tc>
          <w:tcPr>
            <w:tcW w:w="426" w:type="pct"/>
          </w:tcPr>
          <w:p w14:paraId="378942C8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7D3B6B1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00147B72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2CD08168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0783B952" w14:textId="77777777" w:rsidTr="003012BC">
        <w:tc>
          <w:tcPr>
            <w:tcW w:w="3363" w:type="pct"/>
          </w:tcPr>
          <w:p w14:paraId="0A1098A5" w14:textId="77777777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course requirements, not listed elsewhere</w:t>
            </w:r>
          </w:p>
        </w:tc>
        <w:tc>
          <w:tcPr>
            <w:tcW w:w="426" w:type="pct"/>
          </w:tcPr>
          <w:p w14:paraId="39BCA545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151D0BCE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165A991B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2CB06E49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022902B7" w14:textId="77777777" w:rsidTr="009D63DB">
        <w:tc>
          <w:tcPr>
            <w:tcW w:w="3363" w:type="pct"/>
            <w:shd w:val="clear" w:color="auto" w:fill="E2EFD9" w:themeFill="accent6" w:themeFillTint="33"/>
          </w:tcPr>
          <w:p w14:paraId="63692740" w14:textId="77777777" w:rsidR="007E31C5" w:rsidRPr="00D777A1" w:rsidRDefault="007E31C5" w:rsidP="00680C14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Majors, minors and specialisations</w:t>
            </w:r>
          </w:p>
        </w:tc>
        <w:tc>
          <w:tcPr>
            <w:tcW w:w="426" w:type="pct"/>
            <w:shd w:val="clear" w:color="auto" w:fill="E2EFD9" w:themeFill="accent6" w:themeFillTint="33"/>
          </w:tcPr>
          <w:p w14:paraId="54139F63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548" w:type="pct"/>
            <w:shd w:val="clear" w:color="auto" w:fill="E2EFD9" w:themeFill="accent6" w:themeFillTint="33"/>
          </w:tcPr>
          <w:p w14:paraId="0FD66A57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E2EFD9" w:themeFill="accent6" w:themeFillTint="33"/>
          </w:tcPr>
          <w:p w14:paraId="2FBA491F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E2EFD9" w:themeFill="accent6" w:themeFillTint="33"/>
          </w:tcPr>
          <w:p w14:paraId="189408F9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C5" w:rsidRPr="00D777A1" w14:paraId="45DD5F88" w14:textId="77777777" w:rsidTr="003012BC">
        <w:tc>
          <w:tcPr>
            <w:tcW w:w="3363" w:type="pct"/>
          </w:tcPr>
          <w:p w14:paraId="7A59DA2E" w14:textId="030C90EB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Introducing a new field of study (major, minor, extended major or specialisation)</w:t>
            </w:r>
            <w:r w:rsidRPr="00D777A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464A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CD0730">
              <w:rPr>
                <w:rFonts w:ascii="Arial" w:hAnsi="Arial" w:cs="Arial"/>
                <w:sz w:val="22"/>
                <w:szCs w:val="22"/>
              </w:rPr>
              <w:t xml:space="preserve"> or introducing a </w:t>
            </w:r>
            <w:r w:rsidR="006751EE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CD0730">
              <w:rPr>
                <w:rFonts w:ascii="Arial" w:hAnsi="Arial" w:cs="Arial"/>
                <w:sz w:val="22"/>
                <w:szCs w:val="22"/>
              </w:rPr>
              <w:t>stand-alone</w:t>
            </w:r>
            <w:r w:rsidR="00CD0730">
              <w:rPr>
                <w:rFonts w:ascii="Arial" w:hAnsi="Arial" w:cs="Arial"/>
                <w:sz w:val="22"/>
                <w:szCs w:val="22"/>
              </w:rPr>
              <w:t xml:space="preserve"> minor</w:t>
            </w:r>
            <w:r w:rsidR="006E2D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6" w:type="pct"/>
          </w:tcPr>
          <w:p w14:paraId="6413FD4A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6DE8E3E9" w14:textId="408B14AA" w:rsidR="007E31C5" w:rsidRPr="00D777A1" w:rsidRDefault="00AD647E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464A9A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</w:tcPr>
          <w:p w14:paraId="1A7C4E4B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2DD45569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31C5" w:rsidRPr="00D777A1" w14:paraId="1FAEDFE8" w14:textId="77777777" w:rsidTr="003012BC">
        <w:tc>
          <w:tcPr>
            <w:tcW w:w="3363" w:type="pct"/>
          </w:tcPr>
          <w:p w14:paraId="4BE7ED53" w14:textId="77777777" w:rsidR="007E31C5" w:rsidRPr="00D777A1" w:rsidRDefault="007E31C5" w:rsidP="00680C14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Adding a minor where a major or extended major of the same name already exists</w:t>
            </w:r>
          </w:p>
        </w:tc>
        <w:tc>
          <w:tcPr>
            <w:tcW w:w="426" w:type="pct"/>
          </w:tcPr>
          <w:p w14:paraId="1B885BA7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5930C89E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3F8D4305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2950E6B1" w14:textId="77777777" w:rsidR="007E31C5" w:rsidRPr="00D777A1" w:rsidRDefault="007E31C5" w:rsidP="0068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3D923CA3" w14:textId="77777777" w:rsidTr="003012BC">
        <w:tc>
          <w:tcPr>
            <w:tcW w:w="3363" w:type="pct"/>
          </w:tcPr>
          <w:p w14:paraId="7659C9DC" w14:textId="3A6D700A" w:rsidR="00BC1319" w:rsidRPr="00D777A1" w:rsidRDefault="00BC1319" w:rsidP="006E2D88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BC1319">
              <w:rPr>
                <w:rFonts w:ascii="Arial" w:hAnsi="Arial" w:cs="Arial"/>
                <w:sz w:val="22"/>
                <w:szCs w:val="22"/>
              </w:rPr>
              <w:t>Adding a</w:t>
            </w:r>
            <w:r>
              <w:rPr>
                <w:rFonts w:ascii="Arial" w:hAnsi="Arial" w:cs="Arial"/>
                <w:sz w:val="22"/>
                <w:szCs w:val="22"/>
              </w:rPr>
              <w:t xml:space="preserve">n existing </w:t>
            </w:r>
            <w:r w:rsidRPr="00BC1319">
              <w:rPr>
                <w:rFonts w:ascii="Arial" w:hAnsi="Arial" w:cs="Arial"/>
                <w:sz w:val="22"/>
                <w:szCs w:val="22"/>
              </w:rPr>
              <w:t>minor</w:t>
            </w:r>
            <w:r>
              <w:rPr>
                <w:rFonts w:ascii="Arial" w:hAnsi="Arial" w:cs="Arial"/>
                <w:sz w:val="22"/>
                <w:szCs w:val="22"/>
              </w:rPr>
              <w:t xml:space="preserve">, major, </w:t>
            </w:r>
            <w:r w:rsidRPr="00BC1319">
              <w:rPr>
                <w:rFonts w:ascii="Arial" w:hAnsi="Arial" w:cs="Arial"/>
                <w:sz w:val="22"/>
                <w:szCs w:val="22"/>
              </w:rPr>
              <w:t xml:space="preserve">extended major or specialisation </w:t>
            </w:r>
            <w:r w:rsidR="006E2D88">
              <w:rPr>
                <w:rFonts w:ascii="Arial" w:hAnsi="Arial" w:cs="Arial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z w:val="22"/>
                <w:szCs w:val="22"/>
              </w:rPr>
              <w:t xml:space="preserve"> an Australian location</w:t>
            </w:r>
            <w:r w:rsidR="006E2D8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an existing course </w:t>
            </w:r>
            <w:r w:rsidR="006E2D88"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z w:val="22"/>
                <w:szCs w:val="22"/>
              </w:rPr>
              <w:t xml:space="preserve"> an overseas location</w:t>
            </w:r>
            <w:r w:rsidR="006E2D88">
              <w:rPr>
                <w:rFonts w:ascii="Arial" w:hAnsi="Arial" w:cs="Arial"/>
                <w:sz w:val="22"/>
                <w:szCs w:val="22"/>
              </w:rPr>
              <w:t xml:space="preserve"> where the field of study is not established</w:t>
            </w:r>
            <w:r w:rsidR="00301300">
              <w:rPr>
                <w:rFonts w:ascii="Arial" w:hAnsi="Arial" w:cs="Arial"/>
                <w:sz w:val="22"/>
                <w:szCs w:val="22"/>
              </w:rPr>
              <w:t>.</w:t>
            </w:r>
            <w:r w:rsidR="00D66CD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426" w:type="pct"/>
          </w:tcPr>
          <w:p w14:paraId="6DA1E3DF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76AFD207" w14:textId="551F5AA9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</w:tcPr>
          <w:p w14:paraId="521945A9" w14:textId="4537E1BE" w:rsidR="00BC1319" w:rsidRPr="00D777A1" w:rsidRDefault="00D66CDB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2E924C9F" w14:textId="6A61CE65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74B2EC69" w14:textId="77777777" w:rsidTr="003012BC">
        <w:tc>
          <w:tcPr>
            <w:tcW w:w="3363" w:type="pct"/>
          </w:tcPr>
          <w:p w14:paraId="12D08553" w14:textId="4179505B" w:rsidR="00BC1319" w:rsidRPr="00D777A1" w:rsidRDefault="00BC1319" w:rsidP="00BC131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F296C">
              <w:rPr>
                <w:rFonts w:ascii="Arial" w:hAnsi="Arial" w:cs="Arial"/>
                <w:sz w:val="22"/>
                <w:szCs w:val="22"/>
              </w:rPr>
              <w:t>Introducing a new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 major or extended major where there is currently only a minor</w:t>
            </w:r>
          </w:p>
        </w:tc>
        <w:tc>
          <w:tcPr>
            <w:tcW w:w="426" w:type="pct"/>
          </w:tcPr>
          <w:p w14:paraId="649783E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3AC7BC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B155DF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6DC3341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C1319" w:rsidRPr="00D777A1" w14:paraId="4500FB66" w14:textId="77777777" w:rsidTr="003012BC">
        <w:tc>
          <w:tcPr>
            <w:tcW w:w="3363" w:type="pct"/>
          </w:tcPr>
          <w:p w14:paraId="0F247B0C" w14:textId="77777777" w:rsidR="00BC1319" w:rsidRPr="00D777A1" w:rsidRDefault="00BC1319" w:rsidP="00BC131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Adding an existing specialisation to an existing double degree combination</w:t>
            </w:r>
          </w:p>
        </w:tc>
        <w:tc>
          <w:tcPr>
            <w:tcW w:w="426" w:type="pct"/>
          </w:tcPr>
          <w:p w14:paraId="05913B6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FA183B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6245CE87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2B10F7D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42FEB445" w14:textId="77777777" w:rsidTr="003012BC">
        <w:tc>
          <w:tcPr>
            <w:tcW w:w="3363" w:type="pct"/>
          </w:tcPr>
          <w:p w14:paraId="1FAF8F6B" w14:textId="0915E214" w:rsidR="00BC1319" w:rsidRDefault="00BC1319" w:rsidP="00BC131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Removing a </w:t>
            </w:r>
            <w:r>
              <w:rPr>
                <w:rFonts w:ascii="Arial" w:hAnsi="Arial" w:cs="Arial"/>
                <w:sz w:val="22"/>
                <w:szCs w:val="22"/>
              </w:rPr>
              <w:t xml:space="preserve">stand-alone minor, minor, </w:t>
            </w:r>
            <w:r w:rsidRPr="00D777A1">
              <w:rPr>
                <w:rFonts w:ascii="Arial" w:hAnsi="Arial" w:cs="Arial"/>
                <w:sz w:val="22"/>
                <w:szCs w:val="22"/>
              </w:rPr>
              <w:t>major, extended major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 specialisation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or honours discipline area from a course or a double degree combination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6" w:type="pct"/>
          </w:tcPr>
          <w:p w14:paraId="2D1DC647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6A4C536E" w14:textId="77777777" w:rsidR="00BC1319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0D29814D" w14:textId="4E5DD59D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0C520E6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5406B317" w14:textId="77777777" w:rsidTr="003012BC">
        <w:tc>
          <w:tcPr>
            <w:tcW w:w="3363" w:type="pct"/>
          </w:tcPr>
          <w:p w14:paraId="52D4707E" w14:textId="00D8CD44" w:rsidR="00BC1319" w:rsidRDefault="00BC1319" w:rsidP="00BC131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Removing a minor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has a major that is continuing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6" w:type="pct"/>
          </w:tcPr>
          <w:p w14:paraId="3AEC7A13" w14:textId="18476C64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1D13FEC0" w14:textId="77777777" w:rsidR="00BC1319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320C90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3BCD74C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5B336B11" w14:textId="77777777" w:rsidTr="003012BC">
        <w:tc>
          <w:tcPr>
            <w:tcW w:w="3363" w:type="pct"/>
          </w:tcPr>
          <w:p w14:paraId="1296EEC9" w14:textId="21C90FE9" w:rsidR="00BC1319" w:rsidRPr="00D777A1" w:rsidRDefault="00BC1319" w:rsidP="00BC131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Disestablish</w:t>
            </w:r>
            <w:r w:rsidRPr="008E3213">
              <w:rPr>
                <w:rFonts w:ascii="Arial" w:hAnsi="Arial" w:cs="Arial"/>
                <w:sz w:val="22"/>
                <w:szCs w:val="22"/>
              </w:rPr>
              <w:t>ment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 xml:space="preserve">stand-alone minor, minor, 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major, </w:t>
            </w:r>
            <w:r>
              <w:rPr>
                <w:rFonts w:ascii="Arial" w:hAnsi="Arial" w:cs="Arial"/>
                <w:sz w:val="22"/>
                <w:szCs w:val="22"/>
              </w:rPr>
              <w:t xml:space="preserve">extended major, 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specialisation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t xml:space="preserve"> </w:t>
            </w:r>
            <w:r w:rsidRPr="008E3213">
              <w:rPr>
                <w:rFonts w:ascii="Arial" w:hAnsi="Arial" w:cs="Arial"/>
                <w:sz w:val="22"/>
                <w:szCs w:val="22"/>
              </w:rPr>
              <w:t>honours discipline area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6" w:type="pct"/>
          </w:tcPr>
          <w:p w14:paraId="43534161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6BFFEE18" w14:textId="23FF91E3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9" w:type="pct"/>
          </w:tcPr>
          <w:p w14:paraId="545DEFFA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32CC1AF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10A2F38D" w14:textId="77777777" w:rsidTr="003012BC">
        <w:tc>
          <w:tcPr>
            <w:tcW w:w="3363" w:type="pct"/>
          </w:tcPr>
          <w:p w14:paraId="473677A8" w14:textId="018FA4D7" w:rsidR="00BC1319" w:rsidRPr="00D777A1" w:rsidRDefault="00BC1319" w:rsidP="00BC131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Changing the name of a </w:t>
            </w:r>
            <w:r>
              <w:rPr>
                <w:rFonts w:ascii="Arial" w:hAnsi="Arial" w:cs="Arial"/>
                <w:sz w:val="22"/>
                <w:szCs w:val="22"/>
              </w:rPr>
              <w:t xml:space="preserve">stand-alone minor, minor, 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major, </w:t>
            </w:r>
            <w:r>
              <w:rPr>
                <w:rFonts w:ascii="Arial" w:hAnsi="Arial" w:cs="Arial"/>
                <w:sz w:val="22"/>
                <w:szCs w:val="22"/>
              </w:rPr>
              <w:t xml:space="preserve">extended major, 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specialisation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t xml:space="preserve"> </w:t>
            </w:r>
            <w:r w:rsidRPr="008E3213">
              <w:rPr>
                <w:rFonts w:ascii="Arial" w:hAnsi="Arial" w:cs="Arial"/>
                <w:sz w:val="22"/>
                <w:szCs w:val="22"/>
              </w:rPr>
              <w:t>honours discipline area</w:t>
            </w:r>
          </w:p>
        </w:tc>
        <w:tc>
          <w:tcPr>
            <w:tcW w:w="426" w:type="pct"/>
          </w:tcPr>
          <w:p w14:paraId="0F99433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05B4975C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7C1F59F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59CC609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7933BEB8" w14:textId="77777777" w:rsidTr="009D63DB">
        <w:tc>
          <w:tcPr>
            <w:tcW w:w="336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6662883" w14:textId="77777777" w:rsidR="00BC1319" w:rsidRPr="00D777A1" w:rsidRDefault="00BC1319" w:rsidP="00BC13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82CFD9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1092EB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85230C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25CCEF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4B08DE58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51288723" w14:textId="77777777" w:rsidR="00BC1319" w:rsidRPr="00D777A1" w:rsidRDefault="00BC1319" w:rsidP="00BC131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units which do not affect the overall course requirements (e.g. code, level, title, content, unit learning outcomes, assessment, pre-requisites, co-requisites, timing, frequency, duration)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1AD531F1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7FE9B76C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442EB86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4F640461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54612ADC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0B58C714" w14:textId="1B335ADD" w:rsidR="00BC1319" w:rsidRPr="00D777A1" w:rsidRDefault="00BC1319" w:rsidP="00BC131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Disestablishment of units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7DA117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33DC31AF" w14:textId="6B211633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216AD64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AAC05A4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6B294EF8" w14:textId="77777777" w:rsidTr="00680C14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E46BF6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Admission</w:t>
            </w:r>
            <w:r w:rsidRPr="00D777A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</w:tr>
      <w:tr w:rsidR="00BC1319" w:rsidRPr="00D777A1" w14:paraId="07DAD1EA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2AC772A9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pre-requisites (e.g. year 12 units, completed UG qualification)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0868CE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04D7FC5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6CF7821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E45D3CA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687FAF38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70B3B647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eligibility score (e.g. ATAR, GPA)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3964AB71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6611EC6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58A65FB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01B3C455" w14:textId="77777777" w:rsidR="00BC1319" w:rsidRPr="00D777A1" w:rsidRDefault="00BC1319" w:rsidP="00BC1319">
            <w:pPr>
              <w:keepNext/>
              <w:keepLines/>
              <w:jc w:val="center"/>
              <w:outlineLvl w:val="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26BE21D0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0571D5FC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Changes to course specific English language requirements 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7B2AD87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35BF6F14" w14:textId="77777777" w:rsidR="00BC1319" w:rsidRPr="00D777A1" w:rsidDel="009D4E30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0C1512EF" w14:textId="77777777" w:rsidR="00BC1319" w:rsidRPr="00D777A1" w:rsidRDefault="00BC1319" w:rsidP="00BC1319">
            <w:pPr>
              <w:keepNext/>
              <w:keepLines/>
              <w:jc w:val="center"/>
              <w:outlineLvl w:val="8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F8404F0" w14:textId="77777777" w:rsidR="00BC1319" w:rsidRPr="00D777A1" w:rsidRDefault="00BC1319" w:rsidP="00BC1319">
            <w:pPr>
              <w:keepNext/>
              <w:keepLines/>
              <w:jc w:val="center"/>
              <w:outlineLvl w:val="8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1319" w:rsidRPr="00D777A1" w14:paraId="0507AD57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6723EBFF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Introduction of, or changes to, additional selection requirements/measures, e.g. interview, test, audition, portfolio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82181C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687BCD6F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708512F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3C362A7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128BA761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12918620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Introduction of, or changes to, applicant checks, e.g. working with children, immunisation records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73D330D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0805C9A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6115D6D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DDF174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5787DACE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12A0DF66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Special requirements with respect to a double degree course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0A7178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653DACB1" w14:textId="58163E8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0A16F3AC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D8EBA2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2758ADF4" w14:textId="77777777" w:rsidTr="00680C14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1E207FA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Awards</w:t>
            </w:r>
          </w:p>
        </w:tc>
      </w:tr>
      <w:tr w:rsidR="00BC1319" w:rsidRPr="00D777A1" w14:paraId="3954ED88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101642F5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award title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113784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22F97237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569F739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3E21FF8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1319" w:rsidRPr="00D777A1" w14:paraId="78F40BE7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0A294E2E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award abbreviation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DA8F10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0533B43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2B94B86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3734A3F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1319" w:rsidRPr="00D777A1" w14:paraId="3F23C2C2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4579A5E3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Introduction of exit award (whether it is a new or existing award)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6DDD0C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66A0326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2ABB2CE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9B77C2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1319" w:rsidRPr="00D777A1" w14:paraId="01B74FF5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59F36258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Removal of exit award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910A9F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3F54C344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31D3E87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988D74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1319" w:rsidRPr="00D777A1" w14:paraId="6D191261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70830DF8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the requirements for an exit award (same as ‘Course requirements’ under Curriculum above)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EBBC42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345FF91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60E3856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381940A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5FA52124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75E30FC4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Offering an existing exit award as an entry option</w:t>
            </w:r>
            <w:r w:rsidRPr="00D777A1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22E0CE3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2553B8C6" w14:textId="6869B255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17E43E87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A3F762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C1319" w:rsidRPr="00D777A1" w14:paraId="68F2BAA0" w14:textId="77777777" w:rsidTr="003012BC">
        <w:tc>
          <w:tcPr>
            <w:tcW w:w="3363" w:type="pct"/>
            <w:tcBorders>
              <w:bottom w:val="single" w:sz="4" w:space="0" w:color="auto"/>
            </w:tcBorders>
          </w:tcPr>
          <w:p w14:paraId="5CF553E5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AHEGS (Award Statement, Course Features, Pathways to Further Study or Course Accreditation statements)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AA04EA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02F67467" w14:textId="77777777" w:rsidR="00BC1319" w:rsidRPr="00D777A1" w:rsidDel="00A05C22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14:paraId="43DC401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7392FCA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5217A061" w14:textId="77777777" w:rsidTr="00680C14">
        <w:tc>
          <w:tcPr>
            <w:tcW w:w="5000" w:type="pct"/>
            <w:gridSpan w:val="5"/>
            <w:shd w:val="clear" w:color="auto" w:fill="A8D08D" w:themeFill="accent6" w:themeFillTint="99"/>
          </w:tcPr>
          <w:p w14:paraId="42EE7BF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Locations and offerings</w:t>
            </w:r>
          </w:p>
        </w:tc>
      </w:tr>
      <w:tr w:rsidR="00BC1319" w:rsidRPr="00D777A1" w14:paraId="2E0EFB78" w14:textId="77777777" w:rsidTr="003012BC">
        <w:tc>
          <w:tcPr>
            <w:tcW w:w="3363" w:type="pct"/>
          </w:tcPr>
          <w:p w14:paraId="6F7092A9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Adding an existing course, major or specialisation at an Australian teaching location where the field of study is already established at that location. </w:t>
            </w:r>
          </w:p>
        </w:tc>
        <w:tc>
          <w:tcPr>
            <w:tcW w:w="426" w:type="pct"/>
          </w:tcPr>
          <w:p w14:paraId="4CB74D0A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F1344FC" w14:textId="39EB594C" w:rsidR="00BC1319" w:rsidRPr="003012BC" w:rsidRDefault="00BC1319" w:rsidP="00BC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</w:tcPr>
          <w:p w14:paraId="114A54E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4" w:type="pct"/>
          </w:tcPr>
          <w:p w14:paraId="6BA82E8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475F247B" w14:textId="77777777" w:rsidTr="003012BC">
        <w:tc>
          <w:tcPr>
            <w:tcW w:w="3363" w:type="pct"/>
          </w:tcPr>
          <w:p w14:paraId="0FD1E411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New offering of an existing course, major or specialisation at an Australian teaching location where the field of study is not currently established at that location. </w:t>
            </w:r>
          </w:p>
        </w:tc>
        <w:tc>
          <w:tcPr>
            <w:tcW w:w="426" w:type="pct"/>
          </w:tcPr>
          <w:p w14:paraId="02271FD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31FE4A43" w14:textId="14CD7A1A" w:rsidR="00BC1319" w:rsidRPr="003012BC" w:rsidRDefault="00BC1319" w:rsidP="00BC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</w:tcPr>
          <w:p w14:paraId="0373B22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08873DE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C1319" w:rsidRPr="00D777A1" w14:paraId="5BF7EABA" w14:textId="77777777" w:rsidTr="003012BC">
        <w:tc>
          <w:tcPr>
            <w:tcW w:w="3363" w:type="pct"/>
          </w:tcPr>
          <w:p w14:paraId="280760CC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 xml:space="preserve">Addition of an overseas teaching location to an existing course </w:t>
            </w:r>
          </w:p>
        </w:tc>
        <w:tc>
          <w:tcPr>
            <w:tcW w:w="426" w:type="pct"/>
          </w:tcPr>
          <w:p w14:paraId="3E192AF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6692B3DA" w14:textId="29D1E17B" w:rsidR="00BC1319" w:rsidRPr="003012BC" w:rsidRDefault="00BC1319" w:rsidP="00BC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</w:tcPr>
          <w:p w14:paraId="250A95C7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2220B62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C1319" w:rsidRPr="00D777A1" w14:paraId="45221FCD" w14:textId="77777777" w:rsidTr="003012BC">
        <w:tc>
          <w:tcPr>
            <w:tcW w:w="3363" w:type="pct"/>
          </w:tcPr>
          <w:p w14:paraId="50F4BA23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Addition of wholly online offering</w:t>
            </w:r>
          </w:p>
        </w:tc>
        <w:tc>
          <w:tcPr>
            <w:tcW w:w="426" w:type="pct"/>
          </w:tcPr>
          <w:p w14:paraId="57959F04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2022F2D" w14:textId="73C401B3" w:rsidR="00BC1319" w:rsidRPr="003012BC" w:rsidRDefault="00BC1319" w:rsidP="00BC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</w:tcPr>
          <w:p w14:paraId="48D89934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387A412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C1319" w:rsidRPr="00D777A1" w14:paraId="0B577E23" w14:textId="77777777" w:rsidTr="003012BC">
        <w:tc>
          <w:tcPr>
            <w:tcW w:w="3363" w:type="pct"/>
          </w:tcPr>
          <w:p w14:paraId="492AE2E0" w14:textId="41821DF3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Removal of wholly online offering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6" w:type="pct"/>
          </w:tcPr>
          <w:p w14:paraId="0D4E7854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166AF6E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9" w:type="pct"/>
          </w:tcPr>
          <w:p w14:paraId="208E9AD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19D7EAC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1319" w:rsidRPr="00D777A1" w14:paraId="6D735656" w14:textId="77777777" w:rsidTr="003012BC">
        <w:tc>
          <w:tcPr>
            <w:tcW w:w="3363" w:type="pct"/>
          </w:tcPr>
          <w:p w14:paraId="368EB904" w14:textId="37C3B8BD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Removal of a course, major or specialisation from a teaching location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6" w:type="pct"/>
          </w:tcPr>
          <w:p w14:paraId="1C5CA00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874E52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9" w:type="pct"/>
          </w:tcPr>
          <w:p w14:paraId="27878ECA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167DA6C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27279421" w14:textId="77777777" w:rsidTr="003012BC">
        <w:tc>
          <w:tcPr>
            <w:tcW w:w="3363" w:type="pct"/>
          </w:tcPr>
          <w:p w14:paraId="7CC416BA" w14:textId="0A734201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semester offerings, FT/PT/accelerated modes</w:t>
            </w:r>
            <w:r w:rsidRPr="00213C93">
              <w:rPr>
                <w:rFonts w:ascii="Arial" w:hAnsi="Arial" w:cs="Arial"/>
                <w:sz w:val="22"/>
                <w:szCs w:val="22"/>
              </w:rPr>
              <w:t>, overload requirements</w:t>
            </w:r>
          </w:p>
        </w:tc>
        <w:tc>
          <w:tcPr>
            <w:tcW w:w="426" w:type="pct"/>
          </w:tcPr>
          <w:p w14:paraId="09A8D69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2D3CD31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117B05B4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379696E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33DA08D3" w14:textId="77777777" w:rsidTr="003012BC">
        <w:tc>
          <w:tcPr>
            <w:tcW w:w="3363" w:type="pct"/>
          </w:tcPr>
          <w:p w14:paraId="346A6DA9" w14:textId="75CE568A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 offering and delivery modes not otherwise listed</w:t>
            </w:r>
          </w:p>
        </w:tc>
        <w:tc>
          <w:tcPr>
            <w:tcW w:w="426" w:type="pct"/>
          </w:tcPr>
          <w:p w14:paraId="71FDC4A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F6E603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9" w:type="pct"/>
          </w:tcPr>
          <w:p w14:paraId="386CCE5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4135466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39C5383B" w14:textId="77777777" w:rsidTr="00680C14">
        <w:tc>
          <w:tcPr>
            <w:tcW w:w="5000" w:type="pct"/>
            <w:gridSpan w:val="5"/>
            <w:shd w:val="clear" w:color="auto" w:fill="A8D08D" w:themeFill="accent6" w:themeFillTint="99"/>
          </w:tcPr>
          <w:p w14:paraId="4E915DB8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Professional accreditation</w:t>
            </w:r>
          </w:p>
        </w:tc>
      </w:tr>
      <w:tr w:rsidR="00BC1319" w:rsidRPr="00D777A1" w14:paraId="3C62DB88" w14:textId="77777777" w:rsidTr="003012BC">
        <w:tc>
          <w:tcPr>
            <w:tcW w:w="3363" w:type="pct"/>
          </w:tcPr>
          <w:p w14:paraId="5E0B07D9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Applications for recognition by professional bodies</w:t>
            </w:r>
          </w:p>
        </w:tc>
        <w:tc>
          <w:tcPr>
            <w:tcW w:w="426" w:type="pct"/>
          </w:tcPr>
          <w:p w14:paraId="6838F68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6C57A6E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79AB261D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35E20EE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311D6EB4" w14:textId="77777777" w:rsidTr="00680C14">
        <w:tc>
          <w:tcPr>
            <w:tcW w:w="5000" w:type="pct"/>
            <w:gridSpan w:val="5"/>
            <w:shd w:val="clear" w:color="auto" w:fill="A8D08D" w:themeFill="accent6" w:themeFillTint="99"/>
          </w:tcPr>
          <w:p w14:paraId="378CD6E9" w14:textId="1BD7F0B5" w:rsidR="00BC1319" w:rsidRPr="00F36EB6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Pathways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6</w:t>
            </w:r>
          </w:p>
        </w:tc>
      </w:tr>
      <w:tr w:rsidR="00BC1319" w:rsidRPr="00D777A1" w14:paraId="1EBF5DBB" w14:textId="77777777" w:rsidTr="003012BC">
        <w:tc>
          <w:tcPr>
            <w:tcW w:w="3363" w:type="pct"/>
          </w:tcPr>
          <w:p w14:paraId="512CC2DC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New formal pathway agreement</w:t>
            </w:r>
          </w:p>
        </w:tc>
        <w:tc>
          <w:tcPr>
            <w:tcW w:w="426" w:type="pct"/>
          </w:tcPr>
          <w:p w14:paraId="3D3C591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4F32F27E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708DA084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0453D281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4EEDDA38" w14:textId="77777777" w:rsidTr="003012BC">
        <w:tc>
          <w:tcPr>
            <w:tcW w:w="3363" w:type="pct"/>
          </w:tcPr>
          <w:p w14:paraId="2E7B919F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Changes to formal pathway agreement (transfer requirement, credit arrangements)</w:t>
            </w:r>
          </w:p>
        </w:tc>
        <w:tc>
          <w:tcPr>
            <w:tcW w:w="426" w:type="pct"/>
          </w:tcPr>
          <w:p w14:paraId="558E4D9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4F426E1F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28768D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5FCCCD5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509022EE" w14:textId="77777777" w:rsidTr="003012BC">
        <w:tc>
          <w:tcPr>
            <w:tcW w:w="3363" w:type="pct"/>
          </w:tcPr>
          <w:p w14:paraId="15D973DB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Removal of formal pathway agreement</w:t>
            </w:r>
          </w:p>
        </w:tc>
        <w:tc>
          <w:tcPr>
            <w:tcW w:w="426" w:type="pct"/>
          </w:tcPr>
          <w:p w14:paraId="523E666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3EEB996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6F697E73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3D25072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72E757E7" w14:textId="77777777" w:rsidTr="003012BC">
        <w:tc>
          <w:tcPr>
            <w:tcW w:w="3363" w:type="pct"/>
          </w:tcPr>
          <w:p w14:paraId="286278A3" w14:textId="0F72A495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 of a micro-credential pathway for a postgraduate course</w:t>
            </w:r>
          </w:p>
        </w:tc>
        <w:tc>
          <w:tcPr>
            <w:tcW w:w="426" w:type="pct"/>
          </w:tcPr>
          <w:p w14:paraId="64BAD6E3" w14:textId="1063F681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8" w:type="pct"/>
          </w:tcPr>
          <w:p w14:paraId="6ED29BDA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0B1EEC9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652260C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319" w:rsidRPr="00D777A1" w14:paraId="3AE4FB7E" w14:textId="77777777" w:rsidTr="00680C14">
        <w:tc>
          <w:tcPr>
            <w:tcW w:w="5000" w:type="pct"/>
            <w:gridSpan w:val="5"/>
            <w:shd w:val="clear" w:color="auto" w:fill="A8D08D" w:themeFill="accent6" w:themeFillTint="99"/>
          </w:tcPr>
          <w:p w14:paraId="4498F467" w14:textId="1DB6D102" w:rsidR="00BC1319" w:rsidRPr="00F36EB6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Third party arrangements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6</w:t>
            </w:r>
          </w:p>
        </w:tc>
      </w:tr>
      <w:tr w:rsidR="00BC1319" w:rsidRPr="00D777A1" w14:paraId="24F680FC" w14:textId="77777777" w:rsidTr="003012BC">
        <w:tc>
          <w:tcPr>
            <w:tcW w:w="3363" w:type="pct"/>
          </w:tcPr>
          <w:p w14:paraId="7D90F613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Introduction of new third party arrangement or cross-institutional venture (domestic, international)</w:t>
            </w:r>
          </w:p>
        </w:tc>
        <w:tc>
          <w:tcPr>
            <w:tcW w:w="426" w:type="pct"/>
          </w:tcPr>
          <w:p w14:paraId="3D3D26EC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6E0AF47D" w14:textId="7C884AD9" w:rsidR="00BC1319" w:rsidRPr="003012BC" w:rsidRDefault="00BC1319" w:rsidP="00BC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</w:tcPr>
          <w:p w14:paraId="35524790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3090255F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C1319" w:rsidRPr="00D777A1" w14:paraId="3003FCCC" w14:textId="77777777" w:rsidTr="003012BC">
        <w:tc>
          <w:tcPr>
            <w:tcW w:w="3363" w:type="pct"/>
          </w:tcPr>
          <w:p w14:paraId="1FBF045D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Termination of existing third party arrangement or cross-institutional venture (domestic, international)</w:t>
            </w:r>
          </w:p>
        </w:tc>
        <w:tc>
          <w:tcPr>
            <w:tcW w:w="426" w:type="pct"/>
          </w:tcPr>
          <w:p w14:paraId="7E171BD4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57938F1F" w14:textId="13AC6BFC" w:rsidR="00BC1319" w:rsidRPr="003012BC" w:rsidRDefault="00BC1319" w:rsidP="00BC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2BC">
              <w:rPr>
                <w:rFonts w:ascii="Arial" w:hAnsi="Arial" w:cs="Arial"/>
                <w:sz w:val="16"/>
                <w:szCs w:val="16"/>
              </w:rPr>
              <w:t>Business cas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99" w:type="pct"/>
          </w:tcPr>
          <w:p w14:paraId="52E682E2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7038042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C1319" w:rsidRPr="00D777A1" w14:paraId="135F3E74" w14:textId="77777777" w:rsidTr="00680C14">
        <w:tc>
          <w:tcPr>
            <w:tcW w:w="5000" w:type="pct"/>
            <w:gridSpan w:val="5"/>
            <w:shd w:val="clear" w:color="auto" w:fill="A8D08D" w:themeFill="accent6" w:themeFillTint="99"/>
          </w:tcPr>
          <w:p w14:paraId="2405F39B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</w:tr>
      <w:tr w:rsidR="00BC1319" w:rsidRPr="00D777A1" w14:paraId="08E453E1" w14:textId="77777777" w:rsidTr="003012BC">
        <w:tc>
          <w:tcPr>
            <w:tcW w:w="3363" w:type="pct"/>
          </w:tcPr>
          <w:p w14:paraId="47EBA402" w14:textId="77777777" w:rsidR="00BC1319" w:rsidRPr="00D777A1" w:rsidRDefault="00BC1319" w:rsidP="00BC1319">
            <w:pPr>
              <w:rPr>
                <w:rFonts w:ascii="Arial" w:hAnsi="Arial" w:cs="Arial"/>
                <w:sz w:val="22"/>
                <w:szCs w:val="22"/>
              </w:rPr>
            </w:pPr>
            <w:r w:rsidRPr="00D777A1">
              <w:rPr>
                <w:rFonts w:ascii="Arial" w:hAnsi="Arial" w:cs="Arial"/>
                <w:sz w:val="22"/>
                <w:szCs w:val="22"/>
              </w:rPr>
              <w:t>Change of course code for administrative purposes</w:t>
            </w:r>
          </w:p>
        </w:tc>
        <w:tc>
          <w:tcPr>
            <w:tcW w:w="426" w:type="pct"/>
          </w:tcPr>
          <w:p w14:paraId="35FFBF96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</w:tcPr>
          <w:p w14:paraId="2F65B5AF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777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9" w:type="pct"/>
          </w:tcPr>
          <w:p w14:paraId="6BF7CC6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</w:tcPr>
          <w:p w14:paraId="1C692605" w14:textId="77777777" w:rsidR="00BC1319" w:rsidRPr="00D777A1" w:rsidRDefault="00BC1319" w:rsidP="00BC1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6BC4A5" w14:textId="5745D302" w:rsidR="007E31C5" w:rsidRPr="00CD7DB2" w:rsidRDefault="00F36EB6" w:rsidP="00CD7DB2">
      <w:pPr>
        <w:spacing w:after="0"/>
        <w:ind w:right="-1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="007E31C5" w:rsidRPr="00E72483">
        <w:rPr>
          <w:rFonts w:ascii="Arial" w:hAnsi="Arial" w:cs="Arial"/>
          <w:sz w:val="20"/>
          <w:szCs w:val="20"/>
        </w:rPr>
        <w:t xml:space="preserve"> </w:t>
      </w:r>
      <w:r w:rsidR="004803FB" w:rsidRPr="00CD7DB2">
        <w:rPr>
          <w:rFonts w:ascii="Arial" w:hAnsi="Arial" w:cs="Arial"/>
          <w:sz w:val="18"/>
          <w:szCs w:val="18"/>
        </w:rPr>
        <w:t xml:space="preserve">A </w:t>
      </w:r>
      <w:r w:rsidR="007E31C5" w:rsidRPr="00CD7DB2">
        <w:rPr>
          <w:rFonts w:ascii="Arial" w:hAnsi="Arial" w:cs="Arial"/>
          <w:sz w:val="18"/>
          <w:szCs w:val="18"/>
        </w:rPr>
        <w:t>business case is</w:t>
      </w:r>
      <w:r w:rsidR="004803FB" w:rsidRPr="00CD7DB2">
        <w:rPr>
          <w:rFonts w:ascii="Arial" w:hAnsi="Arial" w:cs="Arial"/>
          <w:sz w:val="18"/>
          <w:szCs w:val="18"/>
        </w:rPr>
        <w:t xml:space="preserve"> required and endorsed</w:t>
      </w:r>
      <w:r w:rsidRPr="00CD7DB2">
        <w:rPr>
          <w:rFonts w:ascii="Arial" w:hAnsi="Arial" w:cs="Arial"/>
          <w:sz w:val="18"/>
          <w:szCs w:val="18"/>
        </w:rPr>
        <w:t xml:space="preserve"> </w:t>
      </w:r>
      <w:r w:rsidR="004803FB" w:rsidRPr="00CD7DB2">
        <w:rPr>
          <w:rFonts w:ascii="Arial" w:hAnsi="Arial" w:cs="Arial"/>
          <w:sz w:val="18"/>
          <w:szCs w:val="18"/>
        </w:rPr>
        <w:t>by</w:t>
      </w:r>
      <w:r w:rsidR="007E31C5" w:rsidRPr="00CD7DB2">
        <w:rPr>
          <w:rFonts w:ascii="Arial" w:hAnsi="Arial" w:cs="Arial"/>
          <w:sz w:val="18"/>
          <w:szCs w:val="18"/>
        </w:rPr>
        <w:t xml:space="preserve"> the Deputy Vice-Chancellor (Education).</w:t>
      </w:r>
    </w:p>
    <w:p w14:paraId="5C63CC5A" w14:textId="3AC5655F" w:rsidR="007E31C5" w:rsidRPr="00CD7DB2" w:rsidRDefault="00F36EB6" w:rsidP="00CD7DB2">
      <w:pPr>
        <w:spacing w:after="0"/>
        <w:ind w:right="-147"/>
        <w:rPr>
          <w:rFonts w:ascii="Arial" w:hAnsi="Arial" w:cs="Arial"/>
          <w:sz w:val="18"/>
          <w:szCs w:val="18"/>
        </w:rPr>
      </w:pPr>
      <w:r w:rsidRPr="00CD7DB2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  <w:r w:rsidR="007E31C5" w:rsidRPr="00CD7DB2">
        <w:rPr>
          <w:rFonts w:ascii="Arial" w:hAnsi="Arial" w:cs="Arial"/>
          <w:sz w:val="18"/>
          <w:szCs w:val="18"/>
        </w:rPr>
        <w:t xml:space="preserve"> </w:t>
      </w:r>
      <w:r w:rsidR="00BF4ED0">
        <w:rPr>
          <w:rFonts w:ascii="Arial" w:hAnsi="Arial" w:cs="Arial"/>
          <w:sz w:val="18"/>
          <w:szCs w:val="18"/>
        </w:rPr>
        <w:t>A</w:t>
      </w:r>
      <w:r w:rsidR="007E31C5" w:rsidRPr="00CD7DB2">
        <w:rPr>
          <w:rFonts w:ascii="Arial" w:hAnsi="Arial" w:cs="Arial"/>
          <w:sz w:val="18"/>
          <w:szCs w:val="18"/>
        </w:rPr>
        <w:t>ddition of a new field of study (major, minor, extended major or specialisation) or award entry option follows the process for accreditation of a new course.</w:t>
      </w:r>
    </w:p>
    <w:p w14:paraId="7BA36D70" w14:textId="72EA4C02" w:rsidR="007E31C5" w:rsidRPr="00CD7DB2" w:rsidRDefault="00F36EB6" w:rsidP="00CD7DB2">
      <w:pPr>
        <w:spacing w:after="0"/>
        <w:ind w:right="-147"/>
        <w:rPr>
          <w:rFonts w:ascii="Arial" w:hAnsi="Arial" w:cs="Arial"/>
          <w:sz w:val="18"/>
          <w:szCs w:val="18"/>
        </w:rPr>
      </w:pPr>
      <w:r w:rsidRPr="00CD7DB2">
        <w:rPr>
          <w:rFonts w:ascii="Arial" w:hAnsi="Arial" w:cs="Arial"/>
          <w:b/>
          <w:bCs/>
          <w:sz w:val="18"/>
          <w:szCs w:val="18"/>
          <w:vertAlign w:val="superscript"/>
        </w:rPr>
        <w:t>3</w:t>
      </w:r>
      <w:r w:rsidR="007E31C5" w:rsidRPr="00CD7DB2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974633">
        <w:rPr>
          <w:rFonts w:ascii="Arial" w:hAnsi="Arial" w:cs="Arial"/>
          <w:sz w:val="18"/>
          <w:szCs w:val="18"/>
        </w:rPr>
        <w:t>R</w:t>
      </w:r>
      <w:r w:rsidR="007E31C5" w:rsidRPr="00CD7DB2">
        <w:rPr>
          <w:rFonts w:ascii="Arial" w:hAnsi="Arial" w:cs="Arial"/>
          <w:sz w:val="18"/>
          <w:szCs w:val="18"/>
        </w:rPr>
        <w:t>emoving a major, minor, specialisation or location is regarded as a course amendment but teach-out guidelines apply.</w:t>
      </w:r>
    </w:p>
    <w:p w14:paraId="47AA4C3C" w14:textId="79C8F503" w:rsidR="007E31C5" w:rsidRPr="00CD7DB2" w:rsidRDefault="00464A9A" w:rsidP="00CD7DB2">
      <w:pPr>
        <w:spacing w:after="0"/>
        <w:ind w:right="-147"/>
        <w:rPr>
          <w:rFonts w:ascii="Arial" w:hAnsi="Arial" w:cs="Arial"/>
          <w:sz w:val="18"/>
          <w:szCs w:val="18"/>
        </w:rPr>
      </w:pPr>
      <w:r w:rsidRPr="00CD7DB2">
        <w:rPr>
          <w:rFonts w:ascii="Arial" w:hAnsi="Arial" w:cs="Arial"/>
          <w:b/>
          <w:bCs/>
          <w:sz w:val="18"/>
          <w:szCs w:val="18"/>
          <w:vertAlign w:val="superscript"/>
        </w:rPr>
        <w:t>4</w:t>
      </w:r>
      <w:r w:rsidR="007E31C5" w:rsidRPr="00CD7DB2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7E31C5" w:rsidRPr="00CD7DB2">
        <w:rPr>
          <w:rFonts w:ascii="Arial" w:hAnsi="Arial" w:cs="Arial"/>
          <w:sz w:val="18"/>
          <w:szCs w:val="18"/>
        </w:rPr>
        <w:t xml:space="preserve">Admission requirements will be reported annually to Academic Board. </w:t>
      </w:r>
    </w:p>
    <w:p w14:paraId="6B3B7F06" w14:textId="2D6C623C" w:rsidR="007E31C5" w:rsidRPr="00CD7DB2" w:rsidRDefault="00464A9A" w:rsidP="00CD7DB2">
      <w:pPr>
        <w:spacing w:after="0"/>
        <w:ind w:right="-147"/>
        <w:rPr>
          <w:rFonts w:ascii="Arial" w:hAnsi="Arial" w:cs="Arial"/>
          <w:sz w:val="18"/>
          <w:szCs w:val="18"/>
        </w:rPr>
      </w:pPr>
      <w:r w:rsidRPr="00CD7DB2">
        <w:rPr>
          <w:rFonts w:ascii="Arial" w:hAnsi="Arial" w:cs="Arial"/>
          <w:b/>
          <w:bCs/>
          <w:sz w:val="18"/>
          <w:szCs w:val="18"/>
          <w:vertAlign w:val="superscript"/>
        </w:rPr>
        <w:t>5</w:t>
      </w:r>
      <w:r w:rsidR="007E31C5" w:rsidRPr="00CD7DB2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7E31C5" w:rsidRPr="00CD7DB2">
        <w:rPr>
          <w:rFonts w:ascii="Arial" w:hAnsi="Arial" w:cs="Arial"/>
          <w:sz w:val="18"/>
          <w:szCs w:val="18"/>
        </w:rPr>
        <w:t>Deputy Vice-Chancellor (Education) in consultation with the Dean of the managing faculty.</w:t>
      </w:r>
    </w:p>
    <w:p w14:paraId="6484F23A" w14:textId="2D05DF05" w:rsidR="00AD647E" w:rsidRPr="00CD7DB2" w:rsidRDefault="00464A9A" w:rsidP="00CD7DB2">
      <w:pPr>
        <w:spacing w:after="0"/>
        <w:ind w:right="-147"/>
        <w:rPr>
          <w:rFonts w:ascii="Arial" w:hAnsi="Arial" w:cs="Arial"/>
          <w:b/>
          <w:bCs/>
          <w:sz w:val="18"/>
          <w:szCs w:val="18"/>
        </w:rPr>
      </w:pPr>
      <w:r w:rsidRPr="00CD7DB2">
        <w:rPr>
          <w:rFonts w:ascii="Arial" w:hAnsi="Arial" w:cs="Arial"/>
          <w:b/>
          <w:bCs/>
          <w:sz w:val="18"/>
          <w:szCs w:val="18"/>
          <w:vertAlign w:val="superscript"/>
        </w:rPr>
        <w:t>6</w:t>
      </w:r>
      <w:r w:rsidR="00AD647E" w:rsidRPr="00CD7DB2">
        <w:rPr>
          <w:rFonts w:ascii="Arial" w:hAnsi="Arial" w:cs="Arial"/>
          <w:bCs/>
          <w:sz w:val="18"/>
          <w:szCs w:val="18"/>
        </w:rPr>
        <w:t xml:space="preserve"> </w:t>
      </w:r>
      <w:r w:rsidR="00301300" w:rsidRPr="00CD7DB2">
        <w:rPr>
          <w:rFonts w:ascii="Arial" w:hAnsi="Arial" w:cs="Arial"/>
          <w:bCs/>
          <w:sz w:val="18"/>
          <w:szCs w:val="18"/>
        </w:rPr>
        <w:t>Consul</w:t>
      </w:r>
      <w:r w:rsidR="00AD647E" w:rsidRPr="00CD7DB2">
        <w:rPr>
          <w:rFonts w:ascii="Arial" w:hAnsi="Arial" w:cs="Arial"/>
          <w:bCs/>
          <w:sz w:val="18"/>
          <w:szCs w:val="18"/>
        </w:rPr>
        <w:t xml:space="preserve">tation and endorsement with Global Engagement </w:t>
      </w:r>
      <w:r w:rsidR="00517830" w:rsidRPr="00CD7DB2">
        <w:rPr>
          <w:rFonts w:ascii="Arial" w:hAnsi="Arial" w:cs="Arial"/>
          <w:bCs/>
          <w:sz w:val="18"/>
          <w:szCs w:val="18"/>
        </w:rPr>
        <w:t xml:space="preserve">Office </w:t>
      </w:r>
      <w:r w:rsidR="00253D5C" w:rsidRPr="00CD7DB2">
        <w:rPr>
          <w:rFonts w:ascii="Arial" w:hAnsi="Arial" w:cs="Arial"/>
          <w:bCs/>
          <w:sz w:val="18"/>
          <w:szCs w:val="18"/>
        </w:rPr>
        <w:t>is</w:t>
      </w:r>
      <w:r w:rsidR="00AD647E" w:rsidRPr="00CD7DB2">
        <w:rPr>
          <w:rFonts w:ascii="Arial" w:hAnsi="Arial" w:cs="Arial"/>
          <w:bCs/>
          <w:sz w:val="18"/>
          <w:szCs w:val="18"/>
        </w:rPr>
        <w:t xml:space="preserve"> required</w:t>
      </w:r>
      <w:r w:rsidR="00253D5C" w:rsidRPr="00CD7DB2">
        <w:rPr>
          <w:rFonts w:ascii="Arial" w:hAnsi="Arial" w:cs="Arial"/>
          <w:bCs/>
          <w:sz w:val="18"/>
          <w:szCs w:val="18"/>
        </w:rPr>
        <w:t xml:space="preserve"> for international agreements.</w:t>
      </w:r>
      <w:r w:rsidR="00D66CDB">
        <w:rPr>
          <w:rFonts w:ascii="Arial" w:hAnsi="Arial" w:cs="Arial"/>
          <w:bCs/>
          <w:sz w:val="18"/>
          <w:szCs w:val="18"/>
        </w:rPr>
        <w:br/>
      </w:r>
      <w:r w:rsidR="00301300">
        <w:rPr>
          <w:rFonts w:ascii="Arial" w:hAnsi="Arial" w:cs="Arial"/>
          <w:b/>
          <w:bCs/>
          <w:sz w:val="22"/>
          <w:szCs w:val="22"/>
          <w:vertAlign w:val="superscript"/>
        </w:rPr>
        <w:t xml:space="preserve">7 </w:t>
      </w:r>
      <w:r w:rsidR="00301300" w:rsidRPr="00301300">
        <w:rPr>
          <w:rFonts w:ascii="Arial" w:hAnsi="Arial" w:cs="Arial"/>
          <w:bCs/>
          <w:sz w:val="18"/>
          <w:szCs w:val="18"/>
        </w:rPr>
        <w:t>Course Design P</w:t>
      </w:r>
      <w:r w:rsidR="00275E06">
        <w:rPr>
          <w:rFonts w:ascii="Arial" w:hAnsi="Arial" w:cs="Arial"/>
          <w:bCs/>
          <w:sz w:val="18"/>
          <w:szCs w:val="18"/>
        </w:rPr>
        <w:t>rocedure</w:t>
      </w:r>
      <w:r w:rsidR="00301300" w:rsidRPr="00301300">
        <w:rPr>
          <w:rFonts w:ascii="Arial" w:hAnsi="Arial" w:cs="Arial"/>
          <w:bCs/>
          <w:sz w:val="18"/>
          <w:szCs w:val="18"/>
        </w:rPr>
        <w:t xml:space="preserve"> </w:t>
      </w:r>
      <w:r w:rsidR="00926B2F">
        <w:rPr>
          <w:rFonts w:ascii="Arial" w:hAnsi="Arial" w:cs="Arial"/>
          <w:bCs/>
          <w:sz w:val="18"/>
          <w:szCs w:val="18"/>
        </w:rPr>
        <w:t>principles</w:t>
      </w:r>
      <w:r w:rsidR="004356D7">
        <w:rPr>
          <w:rFonts w:ascii="Arial" w:hAnsi="Arial" w:cs="Arial"/>
          <w:bCs/>
          <w:sz w:val="18"/>
          <w:szCs w:val="18"/>
        </w:rPr>
        <w:t xml:space="preserve"> </w:t>
      </w:r>
      <w:r w:rsidR="00301300" w:rsidRPr="00301300">
        <w:rPr>
          <w:rFonts w:ascii="Arial" w:hAnsi="Arial" w:cs="Arial"/>
          <w:bCs/>
          <w:sz w:val="18"/>
          <w:szCs w:val="18"/>
        </w:rPr>
        <w:t>appl</w:t>
      </w:r>
      <w:r w:rsidR="004356D7">
        <w:rPr>
          <w:rFonts w:ascii="Arial" w:hAnsi="Arial" w:cs="Arial"/>
          <w:bCs/>
          <w:sz w:val="18"/>
          <w:szCs w:val="18"/>
        </w:rPr>
        <w:t>y</w:t>
      </w:r>
      <w:r w:rsidR="00301300" w:rsidRPr="00301300">
        <w:rPr>
          <w:rFonts w:ascii="Arial" w:hAnsi="Arial" w:cs="Arial"/>
          <w:bCs/>
          <w:sz w:val="18"/>
          <w:szCs w:val="18"/>
        </w:rPr>
        <w:t>.</w:t>
      </w:r>
      <w:bookmarkStart w:id="0" w:name="_GoBack"/>
      <w:bookmarkEnd w:id="0"/>
    </w:p>
    <w:p w14:paraId="5B4D8E62" w14:textId="77777777" w:rsidR="00681165" w:rsidRPr="00B9592F" w:rsidRDefault="00681165" w:rsidP="00B9592F">
      <w:pPr>
        <w:tabs>
          <w:tab w:val="left" w:pos="7760"/>
        </w:tabs>
        <w:rPr>
          <w:lang w:val="en-US"/>
        </w:rPr>
      </w:pPr>
    </w:p>
    <w:sectPr w:rsidR="00681165" w:rsidRPr="00B9592F" w:rsidSect="006974D6">
      <w:headerReference w:type="default" r:id="rId12"/>
      <w:footerReference w:type="default" r:id="rId13"/>
      <w:footerReference w:type="first" r:id="rId14"/>
      <w:pgSz w:w="11906" w:h="16838"/>
      <w:pgMar w:top="567" w:right="1134" w:bottom="567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22D78" w14:textId="77777777" w:rsidR="00EF2B45" w:rsidRDefault="00EF2B45" w:rsidP="0033193B">
      <w:pPr>
        <w:spacing w:after="0"/>
      </w:pPr>
      <w:r>
        <w:separator/>
      </w:r>
    </w:p>
  </w:endnote>
  <w:endnote w:type="continuationSeparator" w:id="0">
    <w:p w14:paraId="0D14D701" w14:textId="77777777" w:rsidR="00EF2B45" w:rsidRDefault="00EF2B45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48A0" w14:textId="77777777" w:rsidR="00FF5C7B" w:rsidRDefault="006B29E5" w:rsidP="00FF5C7B">
    <w:pPr>
      <w:pStyle w:val="Footer"/>
      <w:jc w:val="right"/>
    </w:pPr>
    <w:sdt>
      <w:sdtPr>
        <w:id w:val="-52363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Page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FC284A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084C24A7" w14:textId="77777777" w:rsidR="00FF5C7B" w:rsidRDefault="00FF5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172E" w14:textId="77777777" w:rsidR="00FF5C7B" w:rsidRDefault="006B29E5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6974D6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78821174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06A5C" w14:textId="77777777" w:rsidR="00EF2B45" w:rsidRDefault="00EF2B45" w:rsidP="0033193B">
      <w:pPr>
        <w:spacing w:after="0"/>
      </w:pPr>
      <w:r>
        <w:separator/>
      </w:r>
    </w:p>
  </w:footnote>
  <w:footnote w:type="continuationSeparator" w:id="0">
    <w:p w14:paraId="121F61B5" w14:textId="77777777" w:rsidR="00EF2B45" w:rsidRDefault="00EF2B45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7222" w14:textId="77777777" w:rsidR="00B70DF3" w:rsidRDefault="00B70DF3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9504" behindDoc="0" locked="0" layoutInCell="1" allowOverlap="1" wp14:anchorId="1BB8CD33" wp14:editId="1BA4DDB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736"/>
    <w:multiLevelType w:val="hybridMultilevel"/>
    <w:tmpl w:val="5BE00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0FF6102E"/>
    <w:multiLevelType w:val="multilevel"/>
    <w:tmpl w:val="DE4C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62C32"/>
    <w:multiLevelType w:val="multilevel"/>
    <w:tmpl w:val="6F2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17B4"/>
    <w:multiLevelType w:val="multilevel"/>
    <w:tmpl w:val="0F98BA78"/>
    <w:lvl w:ilvl="0">
      <w:start w:val="1"/>
      <w:numFmt w:val="decimal"/>
      <w:pStyle w:val="NumberedHeading3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bodycopy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1F710C7"/>
    <w:multiLevelType w:val="multilevel"/>
    <w:tmpl w:val="95B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E3D50"/>
    <w:multiLevelType w:val="hybridMultilevel"/>
    <w:tmpl w:val="6A187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23FE3"/>
    <w:multiLevelType w:val="hybridMultilevel"/>
    <w:tmpl w:val="588EB2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51C97"/>
    <w:multiLevelType w:val="hybridMultilevel"/>
    <w:tmpl w:val="0F2EC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5A37"/>
    <w:multiLevelType w:val="multilevel"/>
    <w:tmpl w:val="6118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44F35"/>
    <w:multiLevelType w:val="multilevel"/>
    <w:tmpl w:val="FA1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01503"/>
    <w:multiLevelType w:val="multilevel"/>
    <w:tmpl w:val="AF7E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10C1E"/>
    <w:multiLevelType w:val="multilevel"/>
    <w:tmpl w:val="2226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C2BBE"/>
    <w:multiLevelType w:val="multilevel"/>
    <w:tmpl w:val="9B0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851AE"/>
    <w:multiLevelType w:val="multilevel"/>
    <w:tmpl w:val="B100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6414349"/>
    <w:multiLevelType w:val="multilevel"/>
    <w:tmpl w:val="266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224E76"/>
    <w:multiLevelType w:val="hybridMultilevel"/>
    <w:tmpl w:val="90AA41F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E7EC1"/>
    <w:multiLevelType w:val="multilevel"/>
    <w:tmpl w:val="0E10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43542"/>
    <w:multiLevelType w:val="hybridMultilevel"/>
    <w:tmpl w:val="BD063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C56BC"/>
    <w:multiLevelType w:val="multilevel"/>
    <w:tmpl w:val="519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C3545"/>
    <w:multiLevelType w:val="multilevel"/>
    <w:tmpl w:val="923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8595F"/>
    <w:multiLevelType w:val="hybridMultilevel"/>
    <w:tmpl w:val="5FEC3B70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E6C62"/>
    <w:multiLevelType w:val="hybridMultilevel"/>
    <w:tmpl w:val="62D4C3B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B3CB4"/>
    <w:multiLevelType w:val="hybridMultilevel"/>
    <w:tmpl w:val="EFA65D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5"/>
  </w:num>
  <w:num w:numId="5">
    <w:abstractNumId w:val="1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27"/>
  </w:num>
  <w:num w:numId="1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1"/>
    <w:lvlOverride w:ilvl="0">
      <w:lvl w:ilvl="0">
        <w:numFmt w:val="bullet"/>
        <w:lvlText w:val="o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  <w:sz w:val="20"/>
        </w:rPr>
      </w:lvl>
    </w:lvlOverride>
  </w:num>
  <w:num w:numId="1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7"/>
  </w:num>
  <w:num w:numId="1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4"/>
  </w:num>
  <w:num w:numId="19">
    <w:abstractNumId w:val="24"/>
  </w:num>
  <w:num w:numId="20">
    <w:abstractNumId w:val="16"/>
  </w:num>
  <w:num w:numId="21">
    <w:abstractNumId w:val="20"/>
  </w:num>
  <w:num w:numId="22">
    <w:abstractNumId w:val="26"/>
  </w:num>
  <w:num w:numId="23">
    <w:abstractNumId w:val="8"/>
  </w:num>
  <w:num w:numId="24">
    <w:abstractNumId w:val="23"/>
  </w:num>
  <w:num w:numId="25">
    <w:abstractNumId w:val="3"/>
  </w:num>
  <w:num w:numId="26">
    <w:abstractNumId w:val="10"/>
  </w:num>
  <w:num w:numId="27">
    <w:abstractNumId w:val="0"/>
  </w:num>
  <w:num w:numId="28">
    <w:abstractNumId w:val="28"/>
  </w:num>
  <w:num w:numId="29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06FB4"/>
    <w:rsid w:val="00010E17"/>
    <w:rsid w:val="00011F8E"/>
    <w:rsid w:val="00013C07"/>
    <w:rsid w:val="000202F1"/>
    <w:rsid w:val="000227B1"/>
    <w:rsid w:val="00031A63"/>
    <w:rsid w:val="00041920"/>
    <w:rsid w:val="00051153"/>
    <w:rsid w:val="0006232B"/>
    <w:rsid w:val="00067867"/>
    <w:rsid w:val="000761D6"/>
    <w:rsid w:val="000822ED"/>
    <w:rsid w:val="0008254B"/>
    <w:rsid w:val="0009471C"/>
    <w:rsid w:val="00097B5E"/>
    <w:rsid w:val="000C5593"/>
    <w:rsid w:val="000D3A00"/>
    <w:rsid w:val="000F7D3D"/>
    <w:rsid w:val="001053BE"/>
    <w:rsid w:val="00106887"/>
    <w:rsid w:val="0011078E"/>
    <w:rsid w:val="00121874"/>
    <w:rsid w:val="00132C83"/>
    <w:rsid w:val="00137CF4"/>
    <w:rsid w:val="00153B50"/>
    <w:rsid w:val="00156861"/>
    <w:rsid w:val="001762D1"/>
    <w:rsid w:val="0017741F"/>
    <w:rsid w:val="00185491"/>
    <w:rsid w:val="00196B6D"/>
    <w:rsid w:val="001D47E1"/>
    <w:rsid w:val="001D4E2F"/>
    <w:rsid w:val="001F1EDF"/>
    <w:rsid w:val="0020056E"/>
    <w:rsid w:val="00203387"/>
    <w:rsid w:val="002058D2"/>
    <w:rsid w:val="00213C93"/>
    <w:rsid w:val="00253D5C"/>
    <w:rsid w:val="00260CD3"/>
    <w:rsid w:val="00264A90"/>
    <w:rsid w:val="00275E06"/>
    <w:rsid w:val="00290F52"/>
    <w:rsid w:val="00294F03"/>
    <w:rsid w:val="002A7E6E"/>
    <w:rsid w:val="002C408E"/>
    <w:rsid w:val="002D2ECB"/>
    <w:rsid w:val="002F61B8"/>
    <w:rsid w:val="003012BC"/>
    <w:rsid w:val="00301300"/>
    <w:rsid w:val="0030793D"/>
    <w:rsid w:val="003127E5"/>
    <w:rsid w:val="00324639"/>
    <w:rsid w:val="0033193B"/>
    <w:rsid w:val="00376164"/>
    <w:rsid w:val="00377640"/>
    <w:rsid w:val="00380D08"/>
    <w:rsid w:val="00385419"/>
    <w:rsid w:val="003D1CBB"/>
    <w:rsid w:val="003F1C9E"/>
    <w:rsid w:val="00414B64"/>
    <w:rsid w:val="0041540A"/>
    <w:rsid w:val="00415842"/>
    <w:rsid w:val="004209E7"/>
    <w:rsid w:val="00421F2C"/>
    <w:rsid w:val="0042281C"/>
    <w:rsid w:val="004240C5"/>
    <w:rsid w:val="004356D7"/>
    <w:rsid w:val="00447C20"/>
    <w:rsid w:val="00464A9A"/>
    <w:rsid w:val="00470BFF"/>
    <w:rsid w:val="0047794F"/>
    <w:rsid w:val="004803FB"/>
    <w:rsid w:val="0048116F"/>
    <w:rsid w:val="004A45F8"/>
    <w:rsid w:val="004B7C51"/>
    <w:rsid w:val="004F2E1F"/>
    <w:rsid w:val="004F4721"/>
    <w:rsid w:val="00504841"/>
    <w:rsid w:val="005121A9"/>
    <w:rsid w:val="00517830"/>
    <w:rsid w:val="0055155F"/>
    <w:rsid w:val="00565A9C"/>
    <w:rsid w:val="005D5DDB"/>
    <w:rsid w:val="005F0418"/>
    <w:rsid w:val="006071E9"/>
    <w:rsid w:val="006156A0"/>
    <w:rsid w:val="00621FD6"/>
    <w:rsid w:val="00640ECF"/>
    <w:rsid w:val="0066292B"/>
    <w:rsid w:val="006751EE"/>
    <w:rsid w:val="00681165"/>
    <w:rsid w:val="006815A6"/>
    <w:rsid w:val="00683290"/>
    <w:rsid w:val="006945DD"/>
    <w:rsid w:val="006974D6"/>
    <w:rsid w:val="006C4955"/>
    <w:rsid w:val="006E2D88"/>
    <w:rsid w:val="006E5F24"/>
    <w:rsid w:val="00706DEF"/>
    <w:rsid w:val="00730972"/>
    <w:rsid w:val="00735FB7"/>
    <w:rsid w:val="007577C8"/>
    <w:rsid w:val="00765EE4"/>
    <w:rsid w:val="00767844"/>
    <w:rsid w:val="00767E42"/>
    <w:rsid w:val="007738DC"/>
    <w:rsid w:val="00781635"/>
    <w:rsid w:val="007A0DEB"/>
    <w:rsid w:val="007A5C62"/>
    <w:rsid w:val="007B45AE"/>
    <w:rsid w:val="007B7605"/>
    <w:rsid w:val="007D0088"/>
    <w:rsid w:val="007D2C91"/>
    <w:rsid w:val="007E31C5"/>
    <w:rsid w:val="00803330"/>
    <w:rsid w:val="00807DD4"/>
    <w:rsid w:val="00812A0B"/>
    <w:rsid w:val="0082455E"/>
    <w:rsid w:val="00836BF7"/>
    <w:rsid w:val="00850F42"/>
    <w:rsid w:val="00853B78"/>
    <w:rsid w:val="008609CD"/>
    <w:rsid w:val="00866EF6"/>
    <w:rsid w:val="00876F58"/>
    <w:rsid w:val="0088244D"/>
    <w:rsid w:val="00891A96"/>
    <w:rsid w:val="00894E5F"/>
    <w:rsid w:val="0089609F"/>
    <w:rsid w:val="008A1EC3"/>
    <w:rsid w:val="008C0748"/>
    <w:rsid w:val="008E3213"/>
    <w:rsid w:val="008E621D"/>
    <w:rsid w:val="008E6851"/>
    <w:rsid w:val="008F4994"/>
    <w:rsid w:val="008F78FE"/>
    <w:rsid w:val="009006B3"/>
    <w:rsid w:val="00902BC8"/>
    <w:rsid w:val="00912743"/>
    <w:rsid w:val="0091607F"/>
    <w:rsid w:val="00916B12"/>
    <w:rsid w:val="009215E7"/>
    <w:rsid w:val="009223C2"/>
    <w:rsid w:val="00926B2F"/>
    <w:rsid w:val="009300D8"/>
    <w:rsid w:val="009363F1"/>
    <w:rsid w:val="00942144"/>
    <w:rsid w:val="00950C7B"/>
    <w:rsid w:val="00955E3A"/>
    <w:rsid w:val="00965151"/>
    <w:rsid w:val="009669D8"/>
    <w:rsid w:val="009744AD"/>
    <w:rsid w:val="00974633"/>
    <w:rsid w:val="0098731B"/>
    <w:rsid w:val="00991A66"/>
    <w:rsid w:val="00991CE1"/>
    <w:rsid w:val="009941FC"/>
    <w:rsid w:val="009C7519"/>
    <w:rsid w:val="009D63DB"/>
    <w:rsid w:val="009F52B1"/>
    <w:rsid w:val="009F7495"/>
    <w:rsid w:val="00A0371D"/>
    <w:rsid w:val="00A0679A"/>
    <w:rsid w:val="00A17580"/>
    <w:rsid w:val="00A312EF"/>
    <w:rsid w:val="00A35D59"/>
    <w:rsid w:val="00A44974"/>
    <w:rsid w:val="00A50B06"/>
    <w:rsid w:val="00A6671C"/>
    <w:rsid w:val="00A72932"/>
    <w:rsid w:val="00A84021"/>
    <w:rsid w:val="00A93D2D"/>
    <w:rsid w:val="00AA3370"/>
    <w:rsid w:val="00AD647E"/>
    <w:rsid w:val="00AE0E5D"/>
    <w:rsid w:val="00AF7077"/>
    <w:rsid w:val="00B20FC9"/>
    <w:rsid w:val="00B44FB8"/>
    <w:rsid w:val="00B61410"/>
    <w:rsid w:val="00B70DF3"/>
    <w:rsid w:val="00B9592F"/>
    <w:rsid w:val="00BA743A"/>
    <w:rsid w:val="00BC1319"/>
    <w:rsid w:val="00BC422F"/>
    <w:rsid w:val="00BD452F"/>
    <w:rsid w:val="00BD504C"/>
    <w:rsid w:val="00BE776B"/>
    <w:rsid w:val="00BF4ED0"/>
    <w:rsid w:val="00C33261"/>
    <w:rsid w:val="00C561AF"/>
    <w:rsid w:val="00C7393A"/>
    <w:rsid w:val="00C96CB7"/>
    <w:rsid w:val="00CB4F67"/>
    <w:rsid w:val="00CB6030"/>
    <w:rsid w:val="00CB60AD"/>
    <w:rsid w:val="00CD0730"/>
    <w:rsid w:val="00CD342A"/>
    <w:rsid w:val="00CD4BBB"/>
    <w:rsid w:val="00CD7DB2"/>
    <w:rsid w:val="00CE06D8"/>
    <w:rsid w:val="00CF296C"/>
    <w:rsid w:val="00CF3DA1"/>
    <w:rsid w:val="00D0584E"/>
    <w:rsid w:val="00D1729F"/>
    <w:rsid w:val="00D2151A"/>
    <w:rsid w:val="00D23B9C"/>
    <w:rsid w:val="00D301B2"/>
    <w:rsid w:val="00D4097A"/>
    <w:rsid w:val="00D42D36"/>
    <w:rsid w:val="00D47B10"/>
    <w:rsid w:val="00D50661"/>
    <w:rsid w:val="00D56996"/>
    <w:rsid w:val="00D6155F"/>
    <w:rsid w:val="00D62B47"/>
    <w:rsid w:val="00D638AC"/>
    <w:rsid w:val="00D66CDB"/>
    <w:rsid w:val="00D6749B"/>
    <w:rsid w:val="00D777A1"/>
    <w:rsid w:val="00D83C55"/>
    <w:rsid w:val="00DD6041"/>
    <w:rsid w:val="00DE78AB"/>
    <w:rsid w:val="00DF38B4"/>
    <w:rsid w:val="00E00294"/>
    <w:rsid w:val="00E054E9"/>
    <w:rsid w:val="00E1730A"/>
    <w:rsid w:val="00E37FBC"/>
    <w:rsid w:val="00E569DE"/>
    <w:rsid w:val="00E72483"/>
    <w:rsid w:val="00E73000"/>
    <w:rsid w:val="00E90A2D"/>
    <w:rsid w:val="00EA3DEA"/>
    <w:rsid w:val="00EA4B65"/>
    <w:rsid w:val="00EA596D"/>
    <w:rsid w:val="00EA63AB"/>
    <w:rsid w:val="00EB20DE"/>
    <w:rsid w:val="00EB50C3"/>
    <w:rsid w:val="00ED6EB2"/>
    <w:rsid w:val="00EE3CA6"/>
    <w:rsid w:val="00EF2B45"/>
    <w:rsid w:val="00F14CCF"/>
    <w:rsid w:val="00F2183D"/>
    <w:rsid w:val="00F27A20"/>
    <w:rsid w:val="00F3465D"/>
    <w:rsid w:val="00F36EB6"/>
    <w:rsid w:val="00F41F59"/>
    <w:rsid w:val="00F4201E"/>
    <w:rsid w:val="00F42252"/>
    <w:rsid w:val="00F45774"/>
    <w:rsid w:val="00F47B9F"/>
    <w:rsid w:val="00F56B96"/>
    <w:rsid w:val="00F7757D"/>
    <w:rsid w:val="00F8000E"/>
    <w:rsid w:val="00F86488"/>
    <w:rsid w:val="00FB3A11"/>
    <w:rsid w:val="00FB7FE8"/>
    <w:rsid w:val="00FC284A"/>
    <w:rsid w:val="00FD22E4"/>
    <w:rsid w:val="00FD6286"/>
    <w:rsid w:val="00FE32D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71C30F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D63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638AC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638AC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38A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38A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38A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38A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38A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7B45AE"/>
    <w:pPr>
      <w:numPr>
        <w:numId w:val="1"/>
      </w:numPr>
      <w:tabs>
        <w:tab w:val="left" w:pos="737"/>
      </w:tabs>
      <w:suppressAutoHyphens/>
      <w:autoSpaceDE w:val="0"/>
      <w:autoSpaceDN w:val="0"/>
      <w:adjustRightInd w:val="0"/>
      <w:spacing w:after="57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2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D50661"/>
    <w:pPr>
      <w:spacing w:before="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D50661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5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18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6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paragraph" w:customStyle="1" w:styleId="NumberedHeading31">
    <w:name w:val="Numbered Heading 3.1"/>
    <w:basedOn w:val="Tableheading1"/>
    <w:link w:val="NumberedHeading31Char"/>
    <w:qFormat/>
    <w:rsid w:val="00D638AC"/>
    <w:pPr>
      <w:numPr>
        <w:numId w:val="7"/>
      </w:numPr>
    </w:pPr>
  </w:style>
  <w:style w:type="paragraph" w:customStyle="1" w:styleId="Numberedbodycopy">
    <w:name w:val="Numbered body copy"/>
    <w:basedOn w:val="Bodycopy"/>
    <w:link w:val="NumberedbodycopyChar"/>
    <w:qFormat/>
    <w:rsid w:val="00D638AC"/>
    <w:pPr>
      <w:numPr>
        <w:ilvl w:val="1"/>
        <w:numId w:val="7"/>
      </w:numPr>
    </w:pPr>
  </w:style>
  <w:style w:type="character" w:customStyle="1" w:styleId="NumberedHeading31Char">
    <w:name w:val="Numbered Heading 3.1 Char"/>
    <w:basedOn w:val="Tableheading1Char"/>
    <w:link w:val="NumberedHeading31"/>
    <w:rsid w:val="00D638AC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umberedbodycopyChar">
    <w:name w:val="Numbered body copy Char"/>
    <w:basedOn w:val="BodycopyChar"/>
    <w:link w:val="Numberedbodycopy"/>
    <w:rsid w:val="00D638AC"/>
    <w:rPr>
      <w:rFonts w:ascii="Arial" w:eastAsia="Calibri" w:hAnsi="Arial" w:cs="Arial"/>
      <w:b w:val="0"/>
      <w:bC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locked/>
    <w:rsid w:val="00A17580"/>
    <w:pPr>
      <w:widowControl w:val="0"/>
      <w:autoSpaceDE w:val="0"/>
      <w:autoSpaceDN w:val="0"/>
      <w:spacing w:before="118" w:after="0"/>
      <w:ind w:left="1074" w:hanging="567"/>
    </w:pPr>
    <w:rPr>
      <w:rFonts w:ascii="Calibri" w:eastAsia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locked/>
    <w:rsid w:val="00F41F5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AU"/>
    </w:rPr>
  </w:style>
  <w:style w:type="character" w:styleId="Hyperlink">
    <w:name w:val="Hyperlink"/>
    <w:basedOn w:val="DefaultParagraphFont"/>
    <w:uiPriority w:val="99"/>
    <w:unhideWhenUsed/>
    <w:locked/>
    <w:rsid w:val="00447C2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E31C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7E31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724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D6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D6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D6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47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66C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C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66C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66C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6CD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D66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8043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551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00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__data/assets/pdf_file/0009/2579796/Course-Accreditation-Procedur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onash.edu/__data/assets/pdf_file/0006/2579802/Courses-and-Units-Policy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2894-93DD-4B4F-B4D9-63C5747A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Johann Posso Beltran</cp:lastModifiedBy>
  <cp:revision>2</cp:revision>
  <cp:lastPrinted>2017-02-16T00:07:00Z</cp:lastPrinted>
  <dcterms:created xsi:type="dcterms:W3CDTF">2021-11-17T01:08:00Z</dcterms:created>
  <dcterms:modified xsi:type="dcterms:W3CDTF">2021-11-17T01:08:00Z</dcterms:modified>
</cp:coreProperties>
</file>