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30"/>
      </w:tblGrid>
      <w:tr w:rsidR="00392686" w:rsidRPr="00392686" w14:paraId="1DEDEA11" w14:textId="77777777" w:rsidTr="00392686">
        <w:tc>
          <w:tcPr>
            <w:tcW w:w="9256" w:type="dxa"/>
            <w:shd w:val="clear" w:color="auto" w:fill="8DB3E2" w:themeFill="text2" w:themeFillTint="66"/>
            <w:vAlign w:val="center"/>
          </w:tcPr>
          <w:p w14:paraId="3327E2CB" w14:textId="77777777" w:rsidR="00392686" w:rsidRPr="00392686" w:rsidRDefault="00392686" w:rsidP="00392686">
            <w:pPr>
              <w:spacing w:before="20"/>
              <w:ind w:right="64"/>
              <w:jc w:val="center"/>
              <w:rPr>
                <w:rFonts w:ascii="Arial Narrow" w:eastAsia="Calibri" w:hAnsi="Arial Narrow"/>
                <w:color w:val="000000" w:themeColor="text1"/>
                <w:sz w:val="32"/>
                <w:szCs w:val="32"/>
              </w:rPr>
            </w:pPr>
            <w:r w:rsidRPr="00392686">
              <w:rPr>
                <w:rFonts w:ascii="Arial Narrow" w:hAnsi="Arial Narrow"/>
                <w:b/>
                <w:color w:val="000000" w:themeColor="text1"/>
                <w:spacing w:val="-1"/>
                <w:sz w:val="32"/>
                <w:szCs w:val="32"/>
              </w:rPr>
              <w:t xml:space="preserve">Faculty of Medicine Nursing &amp; Health Sciences </w:t>
            </w:r>
          </w:p>
          <w:p w14:paraId="1C345001" w14:textId="77777777" w:rsidR="00392686" w:rsidRPr="00392686" w:rsidRDefault="00DD4B50" w:rsidP="0038678F">
            <w:pPr>
              <w:spacing w:before="181"/>
              <w:ind w:right="62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 xml:space="preserve">PhD </w:t>
            </w:r>
            <w:r w:rsidR="0038678F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 xml:space="preserve">6 Month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>Review -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9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>Instructions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9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1"/>
                <w:sz w:val="32"/>
                <w:szCs w:val="32"/>
              </w:rPr>
              <w:t>for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>Student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>&amp;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1"/>
                <w:sz w:val="32"/>
                <w:szCs w:val="32"/>
              </w:rPr>
              <w:t>Panel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392686" w:rsidRPr="00392686">
              <w:rPr>
                <w:rFonts w:ascii="Arial Narrow" w:eastAsia="Calibri" w:hAnsi="Arial Narrow"/>
                <w:b/>
                <w:bCs/>
                <w:color w:val="000000" w:themeColor="text1"/>
                <w:sz w:val="32"/>
                <w:szCs w:val="32"/>
              </w:rPr>
              <w:t>Chair</w:t>
            </w:r>
          </w:p>
        </w:tc>
      </w:tr>
    </w:tbl>
    <w:p w14:paraId="4B394E64" w14:textId="77777777" w:rsidR="006D5E97" w:rsidRPr="00392686" w:rsidRDefault="006D5E97" w:rsidP="000B184F">
      <w:pPr>
        <w:shd w:val="clear" w:color="auto" w:fill="DBE5F1" w:themeFill="accent1" w:themeFillTint="33"/>
        <w:spacing w:before="100" w:beforeAutospacing="1"/>
        <w:rPr>
          <w:rFonts w:asciiTheme="minorBidi" w:eastAsia="Times New Roman" w:hAnsiTheme="minorBidi"/>
          <w:b/>
          <w:bCs/>
          <w:color w:val="000000" w:themeColor="text1"/>
        </w:rPr>
      </w:pPr>
      <w:r w:rsidRPr="00392686">
        <w:rPr>
          <w:rFonts w:asciiTheme="minorBidi" w:eastAsia="Times New Roman" w:hAnsiTheme="minorBidi"/>
          <w:b/>
          <w:bCs/>
          <w:color w:val="000000" w:themeColor="text1"/>
        </w:rPr>
        <w:t>P</w:t>
      </w:r>
      <w:r w:rsidR="000B184F">
        <w:rPr>
          <w:rFonts w:asciiTheme="minorBidi" w:eastAsia="Times New Roman" w:hAnsiTheme="minorBidi"/>
          <w:b/>
          <w:bCs/>
          <w:color w:val="000000" w:themeColor="text1"/>
        </w:rPr>
        <w:t>urpose</w:t>
      </w:r>
    </w:p>
    <w:p w14:paraId="70811F5A" w14:textId="77777777" w:rsidR="006D5E97" w:rsidRPr="00392686" w:rsidRDefault="006D5E97" w:rsidP="00392686">
      <w:p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The Faculty of MNHS requires *all graduate research students to complete an initial project and progress review in the first 3-6 months (equivalent full time) of enrolment.  </w:t>
      </w:r>
    </w:p>
    <w:p w14:paraId="249CB569" w14:textId="77777777" w:rsidR="006D5E97" w:rsidRPr="00392686" w:rsidRDefault="006D5E97" w:rsidP="00392686">
      <w:p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The initial project and progress review is the first formal review of a graduate research student's academic performance to:</w:t>
      </w:r>
    </w:p>
    <w:p w14:paraId="2AE83E69" w14:textId="77777777" w:rsidR="006D5E97" w:rsidRPr="00392686" w:rsidRDefault="000B184F" w:rsidP="00392686">
      <w:pPr>
        <w:pStyle w:val="ListParagraph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asciiTheme="minorBidi" w:eastAsia="Times New Roman" w:hAnsi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/>
          <w:color w:val="000000" w:themeColor="text1"/>
          <w:sz w:val="20"/>
          <w:szCs w:val="20"/>
        </w:rPr>
        <w:t>E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nsure</w:t>
      </w:r>
      <w:r w:rsidR="006D5E97" w:rsidRPr="00392686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the student is on track and focused from the very beginning of their candidature;</w:t>
      </w:r>
    </w:p>
    <w:p w14:paraId="2AAEFDA4" w14:textId="77777777" w:rsidR="006D5E97" w:rsidRPr="00392686" w:rsidRDefault="000B184F" w:rsidP="00392686">
      <w:pPr>
        <w:pStyle w:val="ListParagraph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asciiTheme="minorBidi" w:eastAsia="Times New Roman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I</w:t>
      </w:r>
      <w:r w:rsidR="006D5E97" w:rsidRPr="00392686">
        <w:rPr>
          <w:rFonts w:asciiTheme="minorBidi" w:hAnsiTheme="minorBidi"/>
          <w:color w:val="000000" w:themeColor="text1"/>
          <w:sz w:val="20"/>
          <w:szCs w:val="20"/>
        </w:rPr>
        <w:t xml:space="preserve">dentify any difficulties that may impede successful completion of the research project; </w:t>
      </w:r>
    </w:p>
    <w:p w14:paraId="16453899" w14:textId="77777777" w:rsidR="006D5E97" w:rsidRDefault="000B184F" w:rsidP="00F216EF">
      <w:pPr>
        <w:pStyle w:val="ListParagraph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asciiTheme="minorBidi" w:eastAsia="Times New Roman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P</w:t>
      </w:r>
      <w:r w:rsidR="006D5E97" w:rsidRPr="00392686">
        <w:rPr>
          <w:rFonts w:asciiTheme="minorBidi" w:hAnsiTheme="minorBidi"/>
          <w:color w:val="000000" w:themeColor="text1"/>
          <w:sz w:val="20"/>
          <w:szCs w:val="20"/>
        </w:rPr>
        <w:t>rovide an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opportunity for the candidate and their supervisory</w:t>
      </w:r>
      <w:r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team to receive feedback from </w:t>
      </w:r>
      <w:r w:rsidR="00F216EF">
        <w:rPr>
          <w:rFonts w:asciiTheme="minorBidi" w:eastAsia="Times New Roman" w:hAnsiTheme="minorBidi"/>
          <w:color w:val="000000" w:themeColor="text1"/>
          <w:sz w:val="20"/>
          <w:szCs w:val="20"/>
        </w:rPr>
        <w:t>t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he student review panel on the project design, progress-to-date and general research direction. </w:t>
      </w:r>
    </w:p>
    <w:p w14:paraId="78990C03" w14:textId="77777777" w:rsidR="000B184F" w:rsidRPr="000B184F" w:rsidRDefault="00FF67AD" w:rsidP="000B184F">
      <w:pPr>
        <w:shd w:val="clear" w:color="auto" w:fill="F2F2F2" w:themeFill="background1" w:themeFillShade="F2"/>
        <w:spacing w:before="100" w:beforeAutospacing="1"/>
        <w:rPr>
          <w:rFonts w:asciiTheme="minorBidi" w:eastAsia="Times New Roman" w:hAnsiTheme="minorBidi"/>
          <w:b/>
          <w:bCs/>
          <w:color w:val="943634" w:themeColor="accent2" w:themeShade="BF"/>
        </w:rPr>
      </w:pPr>
      <w:r>
        <w:rPr>
          <w:rFonts w:asciiTheme="minorBidi" w:eastAsia="Times New Roman" w:hAnsiTheme="minorBidi"/>
          <w:b/>
          <w:bCs/>
          <w:color w:val="943634" w:themeColor="accent2" w:themeShade="BF"/>
        </w:rPr>
        <w:t>*</w:t>
      </w:r>
      <w:r w:rsidR="000B184F" w:rsidRPr="000B184F">
        <w:rPr>
          <w:rFonts w:asciiTheme="minorBidi" w:eastAsia="Times New Roman" w:hAnsiTheme="minorBidi"/>
          <w:b/>
          <w:bCs/>
          <w:color w:val="943634" w:themeColor="accent2" w:themeShade="BF"/>
        </w:rPr>
        <w:t>Exemptions</w:t>
      </w:r>
    </w:p>
    <w:p w14:paraId="226EC567" w14:textId="77777777" w:rsidR="000B184F" w:rsidRDefault="000B184F" w:rsidP="000B184F">
      <w:pPr>
        <w:rPr>
          <w:rFonts w:asciiTheme="minorBidi" w:hAnsiTheme="minorBidi"/>
          <w:color w:val="000000" w:themeColor="text1"/>
          <w:sz w:val="20"/>
          <w:szCs w:val="20"/>
        </w:rPr>
      </w:pPr>
    </w:p>
    <w:p w14:paraId="0E97D311" w14:textId="77777777" w:rsidR="000B184F" w:rsidRPr="00392686" w:rsidRDefault="000B184F" w:rsidP="0038678F">
      <w:pPr>
        <w:rPr>
          <w:rFonts w:asciiTheme="minorBidi" w:hAnsiTheme="minorBidi"/>
          <w:color w:val="000000" w:themeColor="text1"/>
          <w:sz w:val="20"/>
          <w:szCs w:val="20"/>
        </w:rPr>
      </w:pPr>
      <w:r w:rsidRPr="00392686">
        <w:rPr>
          <w:rFonts w:asciiTheme="minorBidi" w:hAnsiTheme="minorBidi"/>
          <w:color w:val="000000" w:themeColor="text1"/>
          <w:sz w:val="20"/>
          <w:szCs w:val="20"/>
        </w:rPr>
        <w:t xml:space="preserve">Students enrolled in the following programs are exempt from undergoing the Faculty </w:t>
      </w:r>
      <w:r w:rsidR="0038678F">
        <w:rPr>
          <w:rFonts w:asciiTheme="minorBidi" w:hAnsiTheme="minorBidi"/>
          <w:color w:val="000000" w:themeColor="text1"/>
          <w:sz w:val="20"/>
          <w:szCs w:val="20"/>
        </w:rPr>
        <w:t>6 Month Review</w:t>
      </w:r>
      <w:r w:rsidRPr="00392686">
        <w:rPr>
          <w:rFonts w:asciiTheme="minorBidi" w:hAnsiTheme="minorBidi"/>
          <w:color w:val="000000" w:themeColor="text1"/>
          <w:sz w:val="20"/>
          <w:szCs w:val="20"/>
        </w:rPr>
        <w:t>:</w:t>
      </w:r>
    </w:p>
    <w:p w14:paraId="7188F410" w14:textId="77777777" w:rsidR="000B184F" w:rsidRPr="00392686" w:rsidRDefault="000B184F" w:rsidP="000B184F">
      <w:pPr>
        <w:pStyle w:val="ListParagraph"/>
        <w:widowControl/>
        <w:numPr>
          <w:ilvl w:val="0"/>
          <w:numId w:val="9"/>
        </w:numPr>
        <w:spacing w:after="160"/>
        <w:contextualSpacing/>
        <w:rPr>
          <w:rFonts w:asciiTheme="minorBidi" w:hAnsiTheme="minorBidi"/>
          <w:color w:val="000000" w:themeColor="text1"/>
          <w:sz w:val="20"/>
          <w:szCs w:val="20"/>
        </w:rPr>
      </w:pPr>
      <w:r w:rsidRPr="00392686">
        <w:rPr>
          <w:rFonts w:asciiTheme="minorBidi" w:hAnsiTheme="minorBidi"/>
          <w:color w:val="000000" w:themeColor="text1"/>
          <w:sz w:val="20"/>
          <w:szCs w:val="20"/>
        </w:rPr>
        <w:t xml:space="preserve">Joint PhD students whose home institution is </w:t>
      </w:r>
      <w:r w:rsidRPr="00392686">
        <w:rPr>
          <w:rFonts w:asciiTheme="minorBidi" w:hAnsiTheme="minorBidi"/>
          <w:b/>
          <w:bCs/>
          <w:color w:val="000000" w:themeColor="text1"/>
          <w:sz w:val="20"/>
          <w:szCs w:val="20"/>
        </w:rPr>
        <w:t>not</w:t>
      </w:r>
      <w:r w:rsidRPr="00392686">
        <w:rPr>
          <w:rFonts w:asciiTheme="minorBidi" w:hAnsiTheme="minorBidi"/>
          <w:color w:val="000000" w:themeColor="text1"/>
          <w:sz w:val="20"/>
          <w:szCs w:val="20"/>
        </w:rPr>
        <w:t xml:space="preserve"> Monash (including IITB)</w:t>
      </w:r>
    </w:p>
    <w:p w14:paraId="2E07EF31" w14:textId="77777777" w:rsidR="000B184F" w:rsidRPr="00CA5B12" w:rsidRDefault="000B184F" w:rsidP="000B184F">
      <w:pPr>
        <w:pStyle w:val="ListParagraph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contextualSpacing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0B184F">
        <w:rPr>
          <w:rFonts w:asciiTheme="minorBidi" w:hAnsiTheme="minorBidi"/>
          <w:color w:val="000000" w:themeColor="text1"/>
          <w:sz w:val="20"/>
          <w:szCs w:val="20"/>
        </w:rPr>
        <w:t xml:space="preserve">MBBS/PhD Pathway </w:t>
      </w:r>
    </w:p>
    <w:p w14:paraId="016FFB81" w14:textId="77777777" w:rsidR="000B184F" w:rsidRPr="000B184F" w:rsidRDefault="000B184F" w:rsidP="000B184F">
      <w:pPr>
        <w:widowControl/>
        <w:shd w:val="clear" w:color="auto" w:fill="FFFFFF"/>
        <w:spacing w:before="100" w:beforeAutospacing="1" w:after="100" w:afterAutospacing="1"/>
        <w:contextualSpacing/>
        <w:rPr>
          <w:rFonts w:asciiTheme="minorBidi" w:eastAsia="Times New Roman" w:hAnsiTheme="minorBidi"/>
          <w:color w:val="000000" w:themeColor="text1"/>
          <w:sz w:val="20"/>
          <w:szCs w:val="20"/>
        </w:rPr>
      </w:pPr>
    </w:p>
    <w:p w14:paraId="40102907" w14:textId="77777777" w:rsidR="007B6655" w:rsidRPr="000B184F" w:rsidRDefault="007B6655" w:rsidP="000B184F">
      <w:pPr>
        <w:shd w:val="clear" w:color="auto" w:fill="DBE5F1" w:themeFill="accent1" w:themeFillTint="33"/>
        <w:spacing w:before="100" w:beforeAutospacing="1"/>
        <w:rPr>
          <w:rFonts w:asciiTheme="minorBidi" w:eastAsia="Times New Roman" w:hAnsiTheme="minorBidi"/>
          <w:b/>
          <w:bCs/>
          <w:color w:val="000000" w:themeColor="text1"/>
        </w:rPr>
      </w:pPr>
      <w:r w:rsidRPr="000B184F">
        <w:rPr>
          <w:rFonts w:asciiTheme="minorBidi" w:eastAsia="Times New Roman" w:hAnsiTheme="minorBidi"/>
          <w:b/>
          <w:bCs/>
          <w:color w:val="000000" w:themeColor="text1"/>
        </w:rPr>
        <w:t>Pre - Requisites</w:t>
      </w:r>
    </w:p>
    <w:p w14:paraId="4702CEFB" w14:textId="77777777" w:rsidR="007B6655" w:rsidRPr="00392686" w:rsidRDefault="007B6655" w:rsidP="00392686">
      <w:p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All students are required to have completed the following compulsory modules </w:t>
      </w:r>
      <w:r w:rsidRPr="00392686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>prior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to the </w:t>
      </w:r>
      <w:r w:rsidR="00D71D9B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Review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:</w:t>
      </w:r>
    </w:p>
    <w:p w14:paraId="51CB4587" w14:textId="77777777" w:rsidR="009D4532" w:rsidRPr="00392686" w:rsidRDefault="009D4532" w:rsidP="009D453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Monash Graduate Research Induction – online via </w:t>
      </w:r>
      <w:hyperlink r:id="rId5" w:history="1">
        <w:r w:rsidRPr="00BF52B4">
          <w:rPr>
            <w:rStyle w:val="Hyperlink"/>
            <w:rFonts w:asciiTheme="minorBidi" w:eastAsia="Times New Roman" w:hAnsiTheme="minorBidi"/>
            <w:sz w:val="20"/>
            <w:szCs w:val="20"/>
          </w:rPr>
          <w:t>myDevelopment</w:t>
        </w:r>
      </w:hyperlink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</w:t>
      </w:r>
    </w:p>
    <w:p w14:paraId="7E373DC8" w14:textId="77777777" w:rsidR="009D4532" w:rsidRPr="00392686" w:rsidRDefault="009D4532" w:rsidP="009D453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Research Integrity - online via </w:t>
      </w:r>
      <w:hyperlink r:id="rId6" w:history="1">
        <w:r w:rsidRPr="00BF52B4">
          <w:rPr>
            <w:rStyle w:val="Hyperlink"/>
            <w:rFonts w:asciiTheme="minorBidi" w:eastAsia="Times New Roman" w:hAnsiTheme="minorBidi"/>
            <w:sz w:val="20"/>
            <w:szCs w:val="20"/>
          </w:rPr>
          <w:t xml:space="preserve">myDevelopment  </w:t>
        </w:r>
      </w:hyperlink>
    </w:p>
    <w:p w14:paraId="284A1785" w14:textId="77777777" w:rsidR="009D4532" w:rsidRPr="005C7ED9" w:rsidRDefault="00EB334C" w:rsidP="009D453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hyperlink r:id="rId7" w:history="1">
        <w:r w:rsidR="009D4532" w:rsidRPr="00392686">
          <w:rPr>
            <w:rStyle w:val="Hyperlink"/>
            <w:rFonts w:asciiTheme="minorBidi" w:eastAsia="Times New Roman" w:hAnsiTheme="minorBidi"/>
            <w:color w:val="000000" w:themeColor="text1"/>
            <w:sz w:val="20"/>
            <w:szCs w:val="20"/>
          </w:rPr>
          <w:t>Faculty induction</w:t>
        </w:r>
      </w:hyperlink>
      <w:r w:rsidR="009D4532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– via M</w:t>
      </w:r>
      <w:r w:rsidR="009D4532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oodle </w:t>
      </w:r>
    </w:p>
    <w:p w14:paraId="3D751884" w14:textId="77777777" w:rsidR="009D4532" w:rsidRDefault="009D4532" w:rsidP="009D453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Respectful research at Monash</w:t>
      </w:r>
      <w:r w:rsidRPr="005C7ED9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- 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online via </w:t>
      </w:r>
      <w:hyperlink r:id="rId8" w:history="1">
        <w:r w:rsidRPr="00BF52B4">
          <w:rPr>
            <w:rStyle w:val="Hyperlink"/>
            <w:rFonts w:asciiTheme="minorBidi" w:eastAsia="Times New Roman" w:hAnsiTheme="minorBidi"/>
            <w:sz w:val="20"/>
            <w:szCs w:val="20"/>
          </w:rPr>
          <w:t xml:space="preserve">myDevelopment  </w:t>
        </w:r>
      </w:hyperlink>
    </w:p>
    <w:p w14:paraId="503A5991" w14:textId="77777777" w:rsidR="009D4532" w:rsidRPr="00392686" w:rsidRDefault="009D4532" w:rsidP="009D453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 xml:space="preserve">Cultural foundations: Building your knowledge of Australia’s first peoples - 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online via </w:t>
      </w:r>
      <w:hyperlink r:id="rId9" w:history="1">
        <w:r w:rsidRPr="00BF52B4">
          <w:rPr>
            <w:rStyle w:val="Hyperlink"/>
            <w:rFonts w:asciiTheme="minorBidi" w:eastAsia="Times New Roman" w:hAnsiTheme="minorBidi"/>
            <w:sz w:val="20"/>
            <w:szCs w:val="20"/>
          </w:rPr>
          <w:t xml:space="preserve">myDevelopment  </w:t>
        </w:r>
      </w:hyperlink>
    </w:p>
    <w:p w14:paraId="698AF2CE" w14:textId="77777777" w:rsidR="006D5E97" w:rsidRPr="000B184F" w:rsidRDefault="000B184F" w:rsidP="000B184F">
      <w:pPr>
        <w:shd w:val="clear" w:color="auto" w:fill="DBE5F1" w:themeFill="accent1" w:themeFillTint="33"/>
        <w:spacing w:before="100" w:beforeAutospacing="1"/>
        <w:rPr>
          <w:rFonts w:asciiTheme="minorBidi" w:eastAsia="Times New Roman" w:hAnsiTheme="minorBidi"/>
          <w:b/>
          <w:bCs/>
          <w:color w:val="000000" w:themeColor="text1"/>
        </w:rPr>
      </w:pPr>
      <w:r>
        <w:rPr>
          <w:rFonts w:asciiTheme="minorBidi" w:eastAsia="Times New Roman" w:hAnsiTheme="minorBidi"/>
          <w:b/>
          <w:bCs/>
          <w:color w:val="000000" w:themeColor="text1"/>
        </w:rPr>
        <w:t>Panel Composition</w:t>
      </w:r>
    </w:p>
    <w:p w14:paraId="1291AE97" w14:textId="77777777" w:rsidR="0038678F" w:rsidRDefault="006D5E97" w:rsidP="00C5162B">
      <w:p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Panel Chair and </w:t>
      </w:r>
      <w:r w:rsidR="00C5162B" w:rsidRPr="00C5162B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 xml:space="preserve">minimum </w:t>
      </w:r>
      <w:r w:rsidRPr="0038678F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>on</w:t>
      </w:r>
      <w:r w:rsidR="00C576A6" w:rsidRPr="0038678F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>e</w:t>
      </w:r>
      <w:r w:rsidRPr="0038678F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 xml:space="preserve"> other</w:t>
      </w:r>
      <w:r w:rsidR="003850FB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>*</w:t>
      </w:r>
      <w:r w:rsidRPr="0038678F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  <w:t xml:space="preserve"> 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independent </w:t>
      </w:r>
      <w:r w:rsidR="00C5162B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panel </w:t>
      </w:r>
      <w:r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member</w:t>
      </w:r>
      <w:r w:rsidR="00C576A6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. </w:t>
      </w:r>
    </w:p>
    <w:p w14:paraId="79E3A3F4" w14:textId="77777777" w:rsidR="00415D5F" w:rsidRDefault="006F1A18" w:rsidP="00F55435">
      <w:pPr>
        <w:shd w:val="clear" w:color="auto" w:fill="FFFFFF"/>
        <w:spacing w:before="100" w:beforeAutospacing="1" w:after="100" w:afterAutospacing="1"/>
        <w:rPr>
          <w:rFonts w:asciiTheme="minorBidi" w:eastAsia="Times New Roman" w:hAnsi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/>
          <w:color w:val="000000" w:themeColor="text1"/>
          <w:sz w:val="20"/>
          <w:szCs w:val="20"/>
        </w:rPr>
        <w:t>Note</w:t>
      </w:r>
      <w:r w:rsidR="00415D5F">
        <w:rPr>
          <w:rFonts w:asciiTheme="minorBidi" w:eastAsia="Times New Roman" w:hAnsiTheme="minorBidi"/>
          <w:color w:val="000000" w:themeColor="text1"/>
          <w:sz w:val="20"/>
          <w:szCs w:val="20"/>
        </w:rPr>
        <w:t>:</w:t>
      </w:r>
      <w:r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a</w:t>
      </w:r>
      <w:r w:rsidR="00C576A6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ll other </w:t>
      </w:r>
      <w:r w:rsidR="0038678F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panel composition </w:t>
      </w:r>
      <w:r w:rsidR="00C576A6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>requirements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 </w:t>
      </w:r>
      <w:r w:rsidR="000D7D09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to be </w:t>
      </w:r>
      <w:r w:rsidR="006D5E97" w:rsidRPr="00392686">
        <w:rPr>
          <w:rFonts w:asciiTheme="minorBidi" w:eastAsia="Times New Roman" w:hAnsiTheme="minorBidi"/>
          <w:color w:val="000000" w:themeColor="text1"/>
          <w:sz w:val="20"/>
          <w:szCs w:val="20"/>
        </w:rPr>
        <w:t xml:space="preserve">in accordance with </w:t>
      </w:r>
      <w:hyperlink r:id="rId10" w:history="1">
        <w:r w:rsidR="00363017" w:rsidRPr="009D4532">
          <w:rPr>
            <w:rStyle w:val="Hyperlink"/>
            <w:rFonts w:asciiTheme="minorBidi" w:eastAsia="Times New Roman" w:hAnsiTheme="minorBidi"/>
            <w:color w:val="0000FF"/>
            <w:sz w:val="20"/>
            <w:szCs w:val="20"/>
          </w:rPr>
          <w:t>Graduate Research Management procedures.</w:t>
        </w:r>
      </w:hyperlink>
      <w:r w:rsidR="00363017" w:rsidRPr="009D4532">
        <w:rPr>
          <w:rFonts w:asciiTheme="minorBidi" w:eastAsia="Times New Roman" w:hAnsiTheme="minorBidi"/>
          <w:color w:val="0000FF"/>
          <w:sz w:val="20"/>
          <w:szCs w:val="20"/>
        </w:rPr>
        <w:t xml:space="preserve"> </w:t>
      </w:r>
      <w:r w:rsidR="00F55435" w:rsidRPr="009D4532">
        <w:rPr>
          <w:rFonts w:asciiTheme="minorBidi" w:eastAsia="Times New Roman" w:hAnsiTheme="minorBidi"/>
          <w:color w:val="0000FF"/>
          <w:sz w:val="20"/>
          <w:szCs w:val="20"/>
        </w:rPr>
        <w:t xml:space="preserve"> </w:t>
      </w:r>
    </w:p>
    <w:p w14:paraId="2D15C453" w14:textId="77777777" w:rsidR="000B184F" w:rsidRDefault="00363017" w:rsidP="00415D5F">
      <w:p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 w:rsidRPr="00392686">
        <w:rPr>
          <w:rFonts w:asciiTheme="minorBidi" w:hAnsiTheme="minorBidi"/>
          <w:color w:val="000000" w:themeColor="text1"/>
          <w:sz w:val="20"/>
          <w:szCs w:val="20"/>
        </w:rPr>
        <w:t>As standard practice, all members of the M</w:t>
      </w:r>
      <w:r w:rsidR="001F27E3">
        <w:rPr>
          <w:rFonts w:asciiTheme="minorBidi" w:hAnsiTheme="minorBidi"/>
          <w:color w:val="000000" w:themeColor="text1"/>
          <w:sz w:val="20"/>
          <w:szCs w:val="20"/>
        </w:rPr>
        <w:t xml:space="preserve">ilestone </w:t>
      </w:r>
      <w:r w:rsidRPr="00392686">
        <w:rPr>
          <w:rFonts w:asciiTheme="minorBidi" w:hAnsiTheme="minorBidi"/>
          <w:color w:val="000000" w:themeColor="text1"/>
          <w:sz w:val="20"/>
          <w:szCs w:val="20"/>
        </w:rPr>
        <w:t>R</w:t>
      </w:r>
      <w:r w:rsidR="001F27E3">
        <w:rPr>
          <w:rFonts w:asciiTheme="minorBidi" w:hAnsiTheme="minorBidi"/>
          <w:color w:val="000000" w:themeColor="text1"/>
          <w:sz w:val="20"/>
          <w:szCs w:val="20"/>
        </w:rPr>
        <w:t xml:space="preserve">eview </w:t>
      </w:r>
      <w:r w:rsidRPr="00392686">
        <w:rPr>
          <w:rFonts w:asciiTheme="minorBidi" w:hAnsiTheme="minorBidi"/>
          <w:color w:val="000000" w:themeColor="text1"/>
          <w:sz w:val="20"/>
          <w:szCs w:val="20"/>
        </w:rPr>
        <w:t>P</w:t>
      </w:r>
      <w:r w:rsidR="001F27E3">
        <w:rPr>
          <w:rFonts w:asciiTheme="minorBidi" w:hAnsiTheme="minorBidi"/>
          <w:color w:val="000000" w:themeColor="text1"/>
          <w:sz w:val="20"/>
          <w:szCs w:val="20"/>
        </w:rPr>
        <w:t>anel</w:t>
      </w:r>
      <w:r w:rsidRPr="00392686">
        <w:rPr>
          <w:rFonts w:asciiTheme="minorBidi" w:hAnsiTheme="minorBidi"/>
          <w:color w:val="000000" w:themeColor="text1"/>
          <w:sz w:val="20"/>
          <w:szCs w:val="20"/>
        </w:rPr>
        <w:t>, along with the student's supervisor/s, are to attend this review and receive copies of the student's written work one week prior to the review.</w:t>
      </w:r>
      <w:r w:rsidR="005B1AA3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</w:p>
    <w:p w14:paraId="37196138" w14:textId="77777777" w:rsidR="00F55435" w:rsidRDefault="00F55435" w:rsidP="0058760B">
      <w:p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 xml:space="preserve">Students are not required to undertake </w:t>
      </w:r>
      <w:r w:rsidR="0058760B">
        <w:rPr>
          <w:rFonts w:asciiTheme="minorBidi" w:hAnsiTheme="minorBidi"/>
          <w:color w:val="000000" w:themeColor="text1"/>
          <w:sz w:val="20"/>
          <w:szCs w:val="20"/>
        </w:rPr>
        <w:t>their</w:t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oral presentation at a forum open to the public for this </w:t>
      </w:r>
      <w:r w:rsidR="003762CA">
        <w:rPr>
          <w:rFonts w:asciiTheme="minorBidi" w:hAnsiTheme="minorBidi"/>
          <w:color w:val="000000" w:themeColor="text1"/>
          <w:sz w:val="20"/>
          <w:szCs w:val="20"/>
        </w:rPr>
        <w:t xml:space="preserve">Faculty </w:t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review. </w:t>
      </w:r>
    </w:p>
    <w:p w14:paraId="63B37C9B" w14:textId="77777777" w:rsidR="003850FB" w:rsidRPr="001179B0" w:rsidRDefault="003850FB" w:rsidP="003850FB">
      <w:p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*</w:t>
      </w:r>
      <w:r w:rsidRPr="003850FB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>For Research Institutes</w:t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and clinical schools only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 xml:space="preserve">, where possible, the panel composition should follow the normal practice as indicated above. In cases where </w:t>
      </w:r>
      <w:r>
        <w:rPr>
          <w:rFonts w:asciiTheme="minorBidi" w:hAnsiTheme="minorBidi"/>
          <w:color w:val="000000" w:themeColor="text1"/>
          <w:sz w:val="20"/>
          <w:szCs w:val="20"/>
        </w:rPr>
        <w:t>a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>n additional independent panel member</w:t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cannot be secured,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 xml:space="preserve"> they may be exempt from this requirement and the six month revi</w:t>
      </w:r>
      <w:r w:rsidRPr="003165A6">
        <w:rPr>
          <w:rFonts w:asciiTheme="minorBidi" w:hAnsiTheme="minorBidi"/>
          <w:color w:val="000000" w:themeColor="text1"/>
          <w:sz w:val="20"/>
          <w:szCs w:val="20"/>
        </w:rPr>
        <w:t xml:space="preserve">ew may be undertaken with only </w:t>
      </w:r>
      <w:r>
        <w:rPr>
          <w:rFonts w:asciiTheme="minorBidi" w:hAnsiTheme="minorBidi"/>
          <w:color w:val="000000" w:themeColor="text1"/>
          <w:sz w:val="20"/>
          <w:szCs w:val="20"/>
        </w:rPr>
        <w:t>the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 xml:space="preserve"> panel chair</w:t>
      </w:r>
      <w:r w:rsidRPr="0098080B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1179B0">
        <w:rPr>
          <w:rFonts w:ascii="Arial" w:hAnsi="Arial" w:cs="Arial"/>
          <w:color w:val="222222"/>
          <w:sz w:val="20"/>
          <w:szCs w:val="20"/>
          <w:shd w:val="clear" w:color="auto" w:fill="FFFFFF"/>
        </w:rPr>
        <w:t>or Head of Department’s nominee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 xml:space="preserve"> in attendance</w:t>
      </w:r>
      <w:r>
        <w:rPr>
          <w:rFonts w:asciiTheme="minorBidi" w:hAnsiTheme="minorBidi"/>
          <w:color w:val="000000" w:themeColor="text1"/>
          <w:sz w:val="20"/>
          <w:szCs w:val="20"/>
        </w:rPr>
        <w:t>, and only with approval of the Head of School</w:t>
      </w:r>
      <w:r w:rsidRPr="001179B0">
        <w:rPr>
          <w:rFonts w:asciiTheme="minorBidi" w:hAnsiTheme="minorBidi"/>
          <w:color w:val="000000" w:themeColor="text1"/>
          <w:sz w:val="20"/>
          <w:szCs w:val="20"/>
        </w:rPr>
        <w:t xml:space="preserve">. </w:t>
      </w:r>
    </w:p>
    <w:p w14:paraId="77C02949" w14:textId="77777777" w:rsidR="000B184F" w:rsidRDefault="000B184F" w:rsidP="00392686">
      <w:pPr>
        <w:shd w:val="clear" w:color="auto" w:fill="FFFFFF"/>
        <w:spacing w:before="100" w:beforeAutospacing="1" w:after="100" w:afterAutospacing="1"/>
        <w:rPr>
          <w:rFonts w:asciiTheme="minorBidi" w:hAnsiTheme="minorBidi"/>
          <w:color w:val="000000" w:themeColor="text1"/>
          <w:sz w:val="20"/>
          <w:szCs w:val="20"/>
        </w:rPr>
        <w:sectPr w:rsidR="000B184F" w:rsidSect="00392686">
          <w:type w:val="continuous"/>
          <w:pgSz w:w="11920" w:h="1685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Style w:val="TableGrid"/>
        <w:tblW w:w="5153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392686" w:rsidRPr="00392686" w14:paraId="7B524F5E" w14:textId="77777777" w:rsidTr="00F60725">
        <w:trPr>
          <w:trHeight w:val="397"/>
        </w:trPr>
        <w:tc>
          <w:tcPr>
            <w:tcW w:w="11023" w:type="dxa"/>
            <w:shd w:val="clear" w:color="auto" w:fill="8DB3E2" w:themeFill="text2" w:themeFillTint="66"/>
            <w:vAlign w:val="center"/>
          </w:tcPr>
          <w:p w14:paraId="21FCD3B3" w14:textId="77777777" w:rsidR="00DC4803" w:rsidRPr="00392686" w:rsidRDefault="00DC4803" w:rsidP="00392686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0B184F">
              <w:rPr>
                <w:rFonts w:asciiTheme="minorBidi" w:hAnsiTheme="minorBidi"/>
                <w:b/>
                <w:bCs/>
                <w:color w:val="000000" w:themeColor="text1"/>
              </w:rPr>
              <w:lastRenderedPageBreak/>
              <w:t>Instructions</w:t>
            </w:r>
          </w:p>
        </w:tc>
      </w:tr>
      <w:tr w:rsidR="00392686" w:rsidRPr="00392686" w14:paraId="01847AE5" w14:textId="77777777" w:rsidTr="00F60725">
        <w:trPr>
          <w:trHeight w:val="397"/>
        </w:trPr>
        <w:tc>
          <w:tcPr>
            <w:tcW w:w="11023" w:type="dxa"/>
            <w:shd w:val="clear" w:color="auto" w:fill="C6D9F1" w:themeFill="text2" w:themeFillTint="33"/>
            <w:vAlign w:val="center"/>
          </w:tcPr>
          <w:p w14:paraId="1FBBC515" w14:textId="77777777" w:rsidR="00DC4803" w:rsidRPr="00392686" w:rsidRDefault="00DC4803" w:rsidP="00392686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Prior to Review</w:t>
            </w:r>
          </w:p>
        </w:tc>
      </w:tr>
      <w:tr w:rsidR="00392686" w:rsidRPr="00392686" w14:paraId="4CBD7163" w14:textId="77777777" w:rsidTr="00F60725">
        <w:trPr>
          <w:trHeight w:val="397"/>
        </w:trPr>
        <w:tc>
          <w:tcPr>
            <w:tcW w:w="11023" w:type="dxa"/>
            <w:vAlign w:val="center"/>
          </w:tcPr>
          <w:p w14:paraId="526B4283" w14:textId="77777777" w:rsidR="00DC4803" w:rsidRPr="00392686" w:rsidRDefault="00DC4803" w:rsidP="000B184F">
            <w:pPr>
              <w:pStyle w:val="ListParagraph"/>
              <w:numPr>
                <w:ilvl w:val="0"/>
                <w:numId w:val="11"/>
              </w:numPr>
              <w:spacing w:before="240" w:after="100" w:afterAutospacing="1"/>
              <w:ind w:left="363" w:hanging="363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The </w:t>
            </w: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Student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or </w:t>
            </w:r>
            <w:r w:rsidR="00392686"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School/</w:t>
            </w: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AOU Admin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establishes the Milestone Review Panel and organises a time for the meeting.</w:t>
            </w:r>
          </w:p>
          <w:p w14:paraId="77E37294" w14:textId="77777777" w:rsidR="00DC4803" w:rsidRPr="00392686" w:rsidRDefault="00DC4803" w:rsidP="00897E85">
            <w:pPr>
              <w:pStyle w:val="ListParagraph"/>
              <w:numPr>
                <w:ilvl w:val="0"/>
                <w:numId w:val="11"/>
              </w:numPr>
              <w:spacing w:before="100" w:before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One week before the meeting the </w:t>
            </w:r>
            <w:r w:rsidRPr="00673C4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student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sends the panel members:</w:t>
            </w:r>
          </w:p>
          <w:p w14:paraId="6BAF9F02" w14:textId="77777777" w:rsidR="00DC4803" w:rsidRPr="00392686" w:rsidRDefault="00DC4803" w:rsidP="00897E85">
            <w:pPr>
              <w:pStyle w:val="ListParagraph"/>
              <w:numPr>
                <w:ilvl w:val="2"/>
                <w:numId w:val="12"/>
              </w:numPr>
              <w:spacing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E4C21">
              <w:rPr>
                <w:rFonts w:asciiTheme="minorBidi" w:hAnsiTheme="minorBidi"/>
                <w:sz w:val="20"/>
                <w:szCs w:val="20"/>
              </w:rPr>
              <w:t xml:space="preserve">The </w:t>
            </w:r>
            <w:r w:rsidR="001F27E3" w:rsidRPr="00EE4C21">
              <w:rPr>
                <w:rFonts w:asciiTheme="minorBidi" w:hAnsiTheme="minorBidi"/>
                <w:sz w:val="20"/>
                <w:szCs w:val="20"/>
              </w:rPr>
              <w:t xml:space="preserve">Faculty 6 Month </w:t>
            </w:r>
            <w:r w:rsidRPr="00EE4C21">
              <w:rPr>
                <w:rFonts w:asciiTheme="minorBidi" w:hAnsiTheme="minorBidi"/>
                <w:sz w:val="20"/>
                <w:szCs w:val="20"/>
              </w:rPr>
              <w:t>Report Form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– Section 1 completed.</w:t>
            </w:r>
          </w:p>
          <w:p w14:paraId="4B740AAF" w14:textId="77777777" w:rsidR="00DC4803" w:rsidRPr="00392686" w:rsidRDefault="00DC4803" w:rsidP="00392686">
            <w:pPr>
              <w:pStyle w:val="ListParagraph"/>
              <w:numPr>
                <w:ilvl w:val="2"/>
                <w:numId w:val="12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Research Plan – See submission requirements below:</w:t>
            </w:r>
          </w:p>
          <w:p w14:paraId="3DCAB843" w14:textId="77777777" w:rsidR="00DC4803" w:rsidRPr="00392686" w:rsidRDefault="00DC4803" w:rsidP="00392686">
            <w:pPr>
              <w:shd w:val="clear" w:color="auto" w:fill="EAF1DD" w:themeFill="accent3" w:themeFillTint="33"/>
              <w:spacing w:before="100" w:beforeAutospacing="1"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Submission Requirements:</w:t>
            </w:r>
          </w:p>
          <w:p w14:paraId="250BB044" w14:textId="77777777" w:rsidR="00DC4803" w:rsidRPr="007E6E69" w:rsidRDefault="00DC4803" w:rsidP="005D2F42">
            <w:pPr>
              <w:spacing w:before="100" w:before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E6E6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Students are required to </w:t>
            </w:r>
            <w:r w:rsidRPr="00336A2C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submit a Research Plan</w:t>
            </w:r>
            <w:r w:rsidRPr="007E6E6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(</w:t>
            </w:r>
            <w:r w:rsidR="005D2F4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1 to 2 </w:t>
            </w:r>
            <w:r w:rsidR="009E619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pages</w:t>
            </w:r>
            <w:r w:rsidRPr="007E6E6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) which must include the following headings: </w:t>
            </w:r>
          </w:p>
          <w:p w14:paraId="4C75F6F2" w14:textId="77777777" w:rsidR="00DC4803" w:rsidRPr="00897E85" w:rsidRDefault="00DC4803" w:rsidP="00897E85">
            <w:pPr>
              <w:pStyle w:val="ListParagraph"/>
              <w:numPr>
                <w:ilvl w:val="0"/>
                <w:numId w:val="17"/>
              </w:numPr>
              <w:spacing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title of project </w:t>
            </w:r>
          </w:p>
          <w:p w14:paraId="648F7E60" w14:textId="77777777" w:rsidR="00DC4803" w:rsidRPr="00897E85" w:rsidRDefault="00805369" w:rsidP="00897E85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project synopsis including a</w:t>
            </w:r>
            <w:r w:rsidR="00DC4803"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ims &amp; hypotheses</w:t>
            </w:r>
          </w:p>
          <w:p w14:paraId="6FF00842" w14:textId="77777777" w:rsidR="00DC4803" w:rsidRPr="00897E85" w:rsidRDefault="00DC4803" w:rsidP="00897E85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</w:t>
            </w:r>
            <w:r w:rsidR="00805369"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oject needs (identify any resources, external expertise that is needed to complete the planned project)</w:t>
            </w:r>
          </w:p>
          <w:p w14:paraId="6679AE95" w14:textId="77777777" w:rsidR="00DC4803" w:rsidRPr="00897E85" w:rsidRDefault="00DC4803" w:rsidP="00897E85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 brief statement of:</w:t>
            </w:r>
          </w:p>
          <w:p w14:paraId="652B6577" w14:textId="77777777" w:rsidR="00DC4803" w:rsidRPr="00897E85" w:rsidRDefault="00DC4803" w:rsidP="00897E85">
            <w:pPr>
              <w:pStyle w:val="ListParagraph"/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progress to date </w:t>
            </w:r>
          </w:p>
          <w:p w14:paraId="4CE0702E" w14:textId="77777777" w:rsidR="00897E85" w:rsidRPr="00897E85" w:rsidRDefault="00DC4803" w:rsidP="00897E85">
            <w:pPr>
              <w:pStyle w:val="ListParagraph"/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progress planned for the next 6 months </w:t>
            </w:r>
          </w:p>
          <w:p w14:paraId="593C6868" w14:textId="77777777" w:rsidR="00805369" w:rsidRPr="00897E85" w:rsidRDefault="00805369" w:rsidP="00897E85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97E8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any issues / concerns you may have</w:t>
            </w:r>
          </w:p>
          <w:p w14:paraId="7D7E337F" w14:textId="77777777" w:rsidR="00DC4803" w:rsidRDefault="00DC4803" w:rsidP="00897E85">
            <w:pPr>
              <w:pStyle w:val="ListParagraph"/>
              <w:numPr>
                <w:ilvl w:val="0"/>
                <w:numId w:val="11"/>
              </w:numPr>
              <w:spacing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E4C21">
              <w:rPr>
                <w:rFonts w:asciiTheme="minorBidi" w:hAnsiTheme="minorBidi"/>
                <w:sz w:val="20"/>
                <w:szCs w:val="20"/>
              </w:rPr>
              <w:t>Initial Timeline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of candidature (indicating anticipated professional development hours or coursework units)</w:t>
            </w:r>
          </w:p>
          <w:p w14:paraId="6D8A878B" w14:textId="77777777" w:rsidR="00753A50" w:rsidRPr="00753A50" w:rsidRDefault="00753A50" w:rsidP="00897E85">
            <w:pPr>
              <w:spacing w:before="100" w:before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If enrolled via </w:t>
            </w:r>
            <w:hyperlink r:id="rId11" w:history="1">
              <w:r w:rsidRPr="00F60725">
                <w:rPr>
                  <w:rStyle w:val="Hyperlink"/>
                  <w:rFonts w:asciiTheme="minorBidi" w:hAnsiTheme="minorBidi"/>
                  <w:sz w:val="20"/>
                  <w:szCs w:val="20"/>
                </w:rPr>
                <w:t>professional development mode</w:t>
              </w:r>
            </w:hyperlink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14:paraId="767EDBCD" w14:textId="77777777" w:rsidR="009C2F74" w:rsidRPr="00753A50" w:rsidRDefault="00753A50" w:rsidP="00897E85">
            <w:pPr>
              <w:pStyle w:val="ListParagraph"/>
              <w:numPr>
                <w:ilvl w:val="0"/>
                <w:numId w:val="11"/>
              </w:numPr>
              <w:spacing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Hyperlink"/>
                <w:rFonts w:asciiTheme="minorBidi" w:hAnsiTheme="minorBidi"/>
                <w:sz w:val="20"/>
                <w:szCs w:val="20"/>
              </w:rPr>
              <w:t xml:space="preserve">provide </w:t>
            </w:r>
            <w:hyperlink r:id="rId12" w:history="1">
              <w:r w:rsidR="00DC4803" w:rsidRPr="00536C94">
                <w:rPr>
                  <w:rStyle w:val="Hyperlink"/>
                  <w:rFonts w:asciiTheme="minorBidi" w:hAnsiTheme="minorBidi"/>
                  <w:sz w:val="20"/>
                  <w:szCs w:val="20"/>
                </w:rPr>
                <w:t xml:space="preserve">my development </w:t>
              </w:r>
            </w:hyperlink>
            <w:r w:rsidR="00DC4803"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report of completed and any registered hours of professional development activities (including  year 1 of </w:t>
            </w:r>
            <w:r w:rsidR="00DC4803" w:rsidRPr="00EE4C21">
              <w:rPr>
                <w:rFonts w:asciiTheme="minorBidi" w:hAnsiTheme="minorBidi"/>
                <w:sz w:val="20"/>
                <w:szCs w:val="20"/>
              </w:rPr>
              <w:t>MDP planner template</w:t>
            </w:r>
            <w:r w:rsidR="00DC4803"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) </w:t>
            </w:r>
          </w:p>
          <w:p w14:paraId="7BC32E7F" w14:textId="77777777" w:rsidR="00753A50" w:rsidRDefault="00753A50" w:rsidP="00897E85">
            <w:pPr>
              <w:spacing w:before="100" w:before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53A50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If enrolled in via </w:t>
            </w:r>
            <w:hyperlink r:id="rId13" w:history="1">
              <w:r w:rsidRPr="00F60725">
                <w:rPr>
                  <w:rStyle w:val="Hyperlink"/>
                  <w:rFonts w:asciiTheme="minorBidi" w:hAnsiTheme="minorBidi"/>
                  <w:sz w:val="20"/>
                  <w:szCs w:val="20"/>
                </w:rPr>
                <w:t>coursework mode</w:t>
              </w:r>
            </w:hyperlink>
            <w:r w:rsidRPr="00753A50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: </w:t>
            </w:r>
          </w:p>
          <w:p w14:paraId="09DBB50D" w14:textId="77777777" w:rsidR="00753A50" w:rsidRPr="00753A50" w:rsidRDefault="00753A50" w:rsidP="00897E85">
            <w:pPr>
              <w:pStyle w:val="ListParagraph"/>
              <w:numPr>
                <w:ilvl w:val="0"/>
                <w:numId w:val="11"/>
              </w:numPr>
              <w:spacing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provide evidence of enrolment in coursework units</w:t>
            </w:r>
          </w:p>
        </w:tc>
      </w:tr>
      <w:tr w:rsidR="00392686" w:rsidRPr="00392686" w14:paraId="7F307C0B" w14:textId="77777777" w:rsidTr="00F60725">
        <w:trPr>
          <w:trHeight w:val="397"/>
        </w:trPr>
        <w:tc>
          <w:tcPr>
            <w:tcW w:w="11023" w:type="dxa"/>
            <w:shd w:val="clear" w:color="auto" w:fill="C6D9F1" w:themeFill="text2" w:themeFillTint="33"/>
            <w:vAlign w:val="center"/>
          </w:tcPr>
          <w:p w14:paraId="1AB3CF9D" w14:textId="77777777" w:rsidR="00DC4803" w:rsidRPr="00392686" w:rsidRDefault="00DC4803" w:rsidP="00392686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At the Review</w:t>
            </w:r>
          </w:p>
        </w:tc>
      </w:tr>
      <w:tr w:rsidR="00392686" w:rsidRPr="00392686" w14:paraId="4D99CF7C" w14:textId="77777777" w:rsidTr="00F60725">
        <w:trPr>
          <w:trHeight w:val="1688"/>
        </w:trPr>
        <w:tc>
          <w:tcPr>
            <w:tcW w:w="11023" w:type="dxa"/>
            <w:vAlign w:val="center"/>
          </w:tcPr>
          <w:p w14:paraId="0213B32D" w14:textId="77777777" w:rsidR="00DC4803" w:rsidRPr="00392686" w:rsidRDefault="00DC4803" w:rsidP="00805369">
            <w:pPr>
              <w:pStyle w:val="ListParagraph"/>
              <w:numPr>
                <w:ilvl w:val="0"/>
                <w:numId w:val="14"/>
              </w:numPr>
              <w:spacing w:before="240" w:after="100" w:afterAutospacing="1"/>
              <w:ind w:left="363" w:hanging="363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The </w:t>
            </w: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student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discusses their project aims, including a brief overview (maximum 10 minutes).</w:t>
            </w:r>
          </w:p>
          <w:p w14:paraId="48CD7E85" w14:textId="77777777" w:rsidR="00DC4803" w:rsidRPr="00392686" w:rsidRDefault="00DC4803" w:rsidP="003926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 panel talks separately with the student and the supervisor to give each an opportunity to raise any concerns.</w:t>
            </w:r>
          </w:p>
          <w:p w14:paraId="0E7B7E80" w14:textId="77777777" w:rsidR="00DC4803" w:rsidRPr="00392686" w:rsidRDefault="00DC2FA8" w:rsidP="00DC2FA8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Ensure </w:t>
            </w:r>
            <w:r w:rsidR="00DC4803"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Main supervisor, Panel Chair and members sign the </w:t>
            </w:r>
            <w:r w:rsidR="007D7D2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Faculty Report </w:t>
            </w:r>
            <w:r w:rsidR="00DC4803"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Form.</w:t>
            </w:r>
          </w:p>
          <w:p w14:paraId="32B0B83C" w14:textId="77777777" w:rsidR="00DC4803" w:rsidRPr="00392686" w:rsidRDefault="00DC4803" w:rsidP="00897E85">
            <w:pPr>
              <w:pStyle w:val="ListParagraph"/>
              <w:numPr>
                <w:ilvl w:val="0"/>
                <w:numId w:val="14"/>
              </w:numPr>
              <w:spacing w:before="100" w:before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The Chair collects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14:paraId="4098B76E" w14:textId="77777777" w:rsidR="00DC4803" w:rsidRPr="00392686" w:rsidRDefault="00DC4803" w:rsidP="00F60725">
            <w:pPr>
              <w:pStyle w:val="ListParagraph"/>
              <w:numPr>
                <w:ilvl w:val="2"/>
                <w:numId w:val="15"/>
              </w:numPr>
              <w:spacing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The student’s </w:t>
            </w:r>
            <w:hyperlink r:id="rId14" w:history="1">
              <w:r w:rsidRPr="00ED1B83">
                <w:rPr>
                  <w:rStyle w:val="Hyperlink"/>
                  <w:rFonts w:asciiTheme="minorBidi" w:hAnsiTheme="minorBidi"/>
                  <w:sz w:val="20"/>
                  <w:szCs w:val="20"/>
                </w:rPr>
                <w:t xml:space="preserve">myDevelopment </w:t>
              </w:r>
            </w:hyperlink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statement</w:t>
            </w:r>
            <w:r w:rsidR="004217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and / or evidence of coursework enrolment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3DC1C470" w14:textId="77777777" w:rsidR="00DC4803" w:rsidRPr="00392686" w:rsidRDefault="00DC4803" w:rsidP="007D7D28">
            <w:pPr>
              <w:pStyle w:val="ListParagraph"/>
              <w:numPr>
                <w:ilvl w:val="2"/>
                <w:numId w:val="15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The signed </w:t>
            </w:r>
            <w:r w:rsidR="007D7D2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Faculty 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 month</w:t>
            </w:r>
            <w:r w:rsidR="007D7D2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Review Report </w:t>
            </w:r>
            <w:r w:rsidR="000B184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Form and </w:t>
            </w:r>
            <w:r w:rsidR="00657B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</w:t>
            </w:r>
            <w:r w:rsidR="000B184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esearch </w:t>
            </w:r>
            <w:r w:rsidR="007D7D2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</w:t>
            </w:r>
            <w:r w:rsidR="000B184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lan.</w:t>
            </w:r>
          </w:p>
        </w:tc>
      </w:tr>
      <w:tr w:rsidR="00392686" w:rsidRPr="00392686" w14:paraId="0ADDC627" w14:textId="77777777" w:rsidTr="00F60725">
        <w:trPr>
          <w:trHeight w:val="397"/>
        </w:trPr>
        <w:tc>
          <w:tcPr>
            <w:tcW w:w="11023" w:type="dxa"/>
            <w:shd w:val="clear" w:color="auto" w:fill="C6D9F1" w:themeFill="text2" w:themeFillTint="33"/>
            <w:vAlign w:val="center"/>
          </w:tcPr>
          <w:p w14:paraId="20B996E0" w14:textId="77777777" w:rsidR="00DC4803" w:rsidRPr="00392686" w:rsidRDefault="00392686" w:rsidP="00392686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After the Review</w:t>
            </w:r>
          </w:p>
        </w:tc>
      </w:tr>
      <w:tr w:rsidR="00CB669B" w:rsidRPr="00392686" w14:paraId="2D8DAF3B" w14:textId="77777777" w:rsidTr="00F60725">
        <w:trPr>
          <w:trHeight w:val="397"/>
        </w:trPr>
        <w:tc>
          <w:tcPr>
            <w:tcW w:w="11023" w:type="dxa"/>
            <w:shd w:val="clear" w:color="auto" w:fill="FFFFFF" w:themeFill="background1"/>
            <w:vAlign w:val="center"/>
          </w:tcPr>
          <w:p w14:paraId="7907712C" w14:textId="77777777" w:rsidR="00CB669B" w:rsidRPr="00392686" w:rsidRDefault="00284878" w:rsidP="00897E85">
            <w:pPr>
              <w:pStyle w:val="ListParagraph"/>
              <w:numPr>
                <w:ilvl w:val="0"/>
                <w:numId w:val="14"/>
              </w:numPr>
              <w:spacing w:before="100" w:after="100" w:afterAutospacing="1"/>
              <w:ind w:left="363" w:hanging="363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D91AD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The Chair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D91AD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1AD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sends completed documentation to their AOU/School Research Administrator (do not send to Faculty)</w:t>
            </w:r>
          </w:p>
        </w:tc>
      </w:tr>
      <w:tr w:rsidR="00284878" w:rsidRPr="00392686" w14:paraId="14ADFCC9" w14:textId="77777777" w:rsidTr="00F60725">
        <w:trPr>
          <w:trHeight w:val="407"/>
        </w:trPr>
        <w:tc>
          <w:tcPr>
            <w:tcW w:w="11023" w:type="dxa"/>
            <w:shd w:val="clear" w:color="auto" w:fill="BFBFBF" w:themeFill="background1" w:themeFillShade="BF"/>
            <w:vAlign w:val="center"/>
          </w:tcPr>
          <w:p w14:paraId="2F8822DB" w14:textId="77777777" w:rsidR="00284878" w:rsidRPr="00D91AD2" w:rsidRDefault="00284878" w:rsidP="00897E85">
            <w:pPr>
              <w:pStyle w:val="ListParagraph"/>
              <w:numPr>
                <w:ilvl w:val="0"/>
                <w:numId w:val="14"/>
              </w:numPr>
              <w:spacing w:before="100" w:after="100" w:afterAutospacing="1"/>
              <w:ind w:left="363" w:hanging="363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28487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 cases where a rating of 4 or 5 have been identified: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The Chair </w:t>
            </w:r>
            <w:r w:rsidRPr="0028487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collaborates with the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Graduate Research Coordinator </w:t>
            </w:r>
            <w:r w:rsidRPr="0041337C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whose role is to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discuss progress issues </w:t>
            </w:r>
            <w:r w:rsidRPr="0041337C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 the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student and Main supervisor </w:t>
            </w:r>
            <w:r w:rsidR="00563BC6" w:rsidRPr="00563BC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prior to sending documentation </w:t>
            </w:r>
            <w:r w:rsidR="00563BC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 AOU/School Research Admin</w:t>
            </w:r>
          </w:p>
        </w:tc>
      </w:tr>
      <w:tr w:rsidR="00CB669B" w:rsidRPr="00392686" w14:paraId="365EA220" w14:textId="77777777" w:rsidTr="00F60725">
        <w:trPr>
          <w:trHeight w:val="397"/>
        </w:trPr>
        <w:tc>
          <w:tcPr>
            <w:tcW w:w="11023" w:type="dxa"/>
            <w:shd w:val="clear" w:color="auto" w:fill="FFFFFF" w:themeFill="background1"/>
            <w:vAlign w:val="center"/>
          </w:tcPr>
          <w:p w14:paraId="71C75A99" w14:textId="77777777" w:rsidR="00CB669B" w:rsidRPr="00D91AD2" w:rsidRDefault="00CB669B" w:rsidP="00897E85">
            <w:pPr>
              <w:pStyle w:val="ListParagraph"/>
              <w:numPr>
                <w:ilvl w:val="0"/>
                <w:numId w:val="14"/>
              </w:numPr>
              <w:spacing w:before="100" w:after="100" w:afterAutospacing="1"/>
              <w:ind w:left="363" w:hanging="363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D91AD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School/AOU Admin: </w:t>
            </w:r>
          </w:p>
          <w:p w14:paraId="07EB868A" w14:textId="77777777" w:rsidR="00CB669B" w:rsidRPr="00392686" w:rsidRDefault="00CB669B" w:rsidP="00097CF2">
            <w:pPr>
              <w:pStyle w:val="ListParagraph"/>
              <w:numPr>
                <w:ilvl w:val="2"/>
                <w:numId w:val="14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Keys ‘</w:t>
            </w:r>
            <w:r w:rsidR="00097CF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chieved’ in Callista or CHIP for the milestone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type 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(‘FRES-REV-6’) </w:t>
            </w:r>
          </w:p>
          <w:p w14:paraId="7194FF6C" w14:textId="77777777" w:rsidR="00CB669B" w:rsidRPr="00392686" w:rsidRDefault="00CB669B" w:rsidP="00CB669B">
            <w:pPr>
              <w:pStyle w:val="ListParagraph"/>
              <w:numPr>
                <w:ilvl w:val="2"/>
                <w:numId w:val="14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email notification to student advising of review completion</w:t>
            </w:r>
          </w:p>
          <w:p w14:paraId="7C17C146" w14:textId="77777777" w:rsidR="00CB669B" w:rsidRPr="00392686" w:rsidRDefault="00CB669B" w:rsidP="00CB669B">
            <w:pPr>
              <w:pStyle w:val="ListParagraph"/>
              <w:numPr>
                <w:ilvl w:val="1"/>
                <w:numId w:val="14"/>
              </w:numPr>
              <w:spacing w:before="240" w:after="100" w:afterAutospacing="1"/>
              <w:ind w:left="312" w:hanging="35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Upload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report and supporting documentation on to student file in HP Records / TRIM</w:t>
            </w:r>
          </w:p>
        </w:tc>
      </w:tr>
      <w:tr w:rsidR="00CB669B" w:rsidRPr="00392686" w14:paraId="03282C23" w14:textId="77777777" w:rsidTr="00F60725">
        <w:trPr>
          <w:trHeight w:val="397"/>
        </w:trPr>
        <w:tc>
          <w:tcPr>
            <w:tcW w:w="11023" w:type="dxa"/>
            <w:shd w:val="clear" w:color="auto" w:fill="BFBFBF" w:themeFill="background1" w:themeFillShade="BF"/>
            <w:vAlign w:val="center"/>
          </w:tcPr>
          <w:p w14:paraId="677E7DAA" w14:textId="77777777" w:rsidR="00CB669B" w:rsidRPr="00392686" w:rsidRDefault="00CB669B" w:rsidP="00897E85">
            <w:pPr>
              <w:pStyle w:val="ListParagraph"/>
              <w:numPr>
                <w:ilvl w:val="1"/>
                <w:numId w:val="14"/>
              </w:numPr>
              <w:spacing w:before="100" w:after="100" w:afterAutospacing="1"/>
              <w:ind w:left="312" w:hanging="35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 cases where a rating of 4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or</w:t>
            </w: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5 has been identified:</w:t>
            </w:r>
          </w:p>
          <w:p w14:paraId="7AA7CD01" w14:textId="77777777" w:rsidR="00CB669B" w:rsidRPr="00392686" w:rsidRDefault="00CB669B" w:rsidP="00CB669B">
            <w:pPr>
              <w:pStyle w:val="ListParagraph"/>
              <w:numPr>
                <w:ilvl w:val="2"/>
                <w:numId w:val="14"/>
              </w:numPr>
              <w:spacing w:before="100" w:beforeAutospacing="1" w:after="100" w:afterAutospacing="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Ensure the Graduate Research Coordinator has also signed</w:t>
            </w:r>
            <w:r w:rsidR="00CF5A8A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report form</w:t>
            </w:r>
          </w:p>
          <w:p w14:paraId="12708EEF" w14:textId="77777777" w:rsidR="00CB669B" w:rsidRPr="0069026C" w:rsidRDefault="00CB669B" w:rsidP="00CB669B">
            <w:pPr>
              <w:pStyle w:val="ListParagraph"/>
              <w:numPr>
                <w:ilvl w:val="0"/>
                <w:numId w:val="14"/>
              </w:numPr>
              <w:spacing w:before="240" w:after="100" w:afterAutospacing="1"/>
              <w:ind w:left="363" w:hanging="363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9268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Attach signed report form to student’s email notification and copy (CC) to Faculty Graduate Research Office: med-research.degrees@monash.edu</w:t>
            </w:r>
          </w:p>
        </w:tc>
      </w:tr>
    </w:tbl>
    <w:p w14:paraId="3731EEDE" w14:textId="0B4C6942" w:rsidR="001D08CA" w:rsidRPr="00584956" w:rsidRDefault="00392686" w:rsidP="003E7F57">
      <w:pPr>
        <w:shd w:val="clear" w:color="auto" w:fill="FFFFFF"/>
        <w:spacing w:before="100" w:beforeAutospacing="1" w:after="100" w:afterAutospacing="1"/>
        <w:rPr>
          <w:rFonts w:asciiTheme="minorBidi" w:eastAsia="Calibri" w:hAnsiTheme="minorBidi"/>
          <w:color w:val="7F7F7F" w:themeColor="text1" w:themeTint="80"/>
          <w:sz w:val="18"/>
          <w:szCs w:val="18"/>
        </w:rPr>
      </w:pPr>
      <w:r w:rsidRPr="007E55E3">
        <w:rPr>
          <w:rFonts w:asciiTheme="minorBidi" w:hAnsiTheme="minorBidi"/>
          <w:color w:val="000000" w:themeColor="text1"/>
          <w:sz w:val="20"/>
          <w:szCs w:val="20"/>
        </w:rPr>
        <w:t xml:space="preserve">Form and templates </w:t>
      </w:r>
      <w:r w:rsidR="007E55E3">
        <w:rPr>
          <w:rFonts w:asciiTheme="minorBidi" w:hAnsiTheme="minorBidi"/>
          <w:color w:val="000000" w:themeColor="text1"/>
          <w:sz w:val="20"/>
          <w:szCs w:val="20"/>
        </w:rPr>
        <w:t xml:space="preserve">are </w:t>
      </w:r>
      <w:r w:rsidRPr="007E55E3">
        <w:rPr>
          <w:rFonts w:asciiTheme="minorBidi" w:hAnsiTheme="minorBidi"/>
          <w:color w:val="000000" w:themeColor="text1"/>
          <w:sz w:val="20"/>
          <w:szCs w:val="20"/>
        </w:rPr>
        <w:t xml:space="preserve">available from </w:t>
      </w:r>
      <w:r w:rsidR="007E55E3">
        <w:rPr>
          <w:rFonts w:asciiTheme="minorBidi" w:hAnsiTheme="minorBidi"/>
          <w:color w:val="000000" w:themeColor="text1"/>
          <w:sz w:val="20"/>
          <w:szCs w:val="20"/>
        </w:rPr>
        <w:t>the F</w:t>
      </w:r>
      <w:r w:rsidRPr="007E55E3">
        <w:rPr>
          <w:rFonts w:asciiTheme="minorBidi" w:hAnsiTheme="minorBidi"/>
          <w:color w:val="000000" w:themeColor="text1"/>
          <w:sz w:val="20"/>
          <w:szCs w:val="20"/>
        </w:rPr>
        <w:t xml:space="preserve">aculty </w:t>
      </w:r>
      <w:r w:rsidR="003E7F57">
        <w:rPr>
          <w:rFonts w:asciiTheme="minorBidi" w:hAnsiTheme="minorBidi"/>
          <w:color w:val="000000" w:themeColor="text1"/>
          <w:sz w:val="20"/>
          <w:szCs w:val="20"/>
        </w:rPr>
        <w:t>intranet site</w:t>
      </w:r>
      <w:r w:rsidR="007E55E3" w:rsidRPr="007E55E3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hyperlink r:id="rId15" w:history="1">
        <w:r w:rsidR="007E55E3" w:rsidRPr="003E7F57">
          <w:rPr>
            <w:rStyle w:val="Hyperlink"/>
            <w:rFonts w:asciiTheme="minorBidi" w:hAnsiTheme="minorBidi"/>
            <w:sz w:val="20"/>
            <w:szCs w:val="20"/>
          </w:rPr>
          <w:t>here</w:t>
        </w:r>
      </w:hyperlink>
      <w:r w:rsidR="00097CF2">
        <w:rPr>
          <w:rFonts w:asciiTheme="minorBidi" w:hAnsiTheme="minorBidi"/>
          <w:color w:val="000000" w:themeColor="text1"/>
          <w:sz w:val="20"/>
          <w:szCs w:val="20"/>
        </w:rPr>
        <w:t xml:space="preserve">    </w:t>
      </w:r>
      <w:r w:rsidR="002D1118">
        <w:rPr>
          <w:rFonts w:asciiTheme="minorBidi" w:hAnsiTheme="minorBidi"/>
          <w:color w:val="000000" w:themeColor="text1"/>
          <w:sz w:val="20"/>
          <w:szCs w:val="20"/>
        </w:rPr>
        <w:t xml:space="preserve">                             </w:t>
      </w:r>
      <w:r w:rsidR="00097CF2">
        <w:rPr>
          <w:rFonts w:asciiTheme="minorBidi" w:hAnsiTheme="minorBidi"/>
          <w:color w:val="000000" w:themeColor="text1"/>
          <w:sz w:val="20"/>
          <w:szCs w:val="20"/>
        </w:rPr>
        <w:t xml:space="preserve">  </w:t>
      </w:r>
      <w:r w:rsidR="002D1118" w:rsidRPr="00584956">
        <w:rPr>
          <w:rFonts w:asciiTheme="minorBidi" w:hAnsiTheme="minorBidi"/>
          <w:color w:val="7F7F7F" w:themeColor="text1" w:themeTint="80"/>
          <w:sz w:val="20"/>
          <w:szCs w:val="20"/>
        </w:rPr>
        <w:t xml:space="preserve">Updated </w:t>
      </w:r>
      <w:r w:rsidR="00EB334C">
        <w:rPr>
          <w:rFonts w:asciiTheme="minorBidi" w:hAnsiTheme="minorBidi"/>
          <w:color w:val="7F7F7F" w:themeColor="text1" w:themeTint="80"/>
          <w:sz w:val="20"/>
          <w:szCs w:val="20"/>
        </w:rPr>
        <w:t>29/10/2025</w:t>
      </w:r>
    </w:p>
    <w:sectPr w:rsidR="001D08CA" w:rsidRPr="00584956" w:rsidSect="009374D6">
      <w:pgSz w:w="11920" w:h="16850"/>
      <w:pgMar w:top="720" w:right="720" w:bottom="30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D24"/>
    <w:multiLevelType w:val="hybridMultilevel"/>
    <w:tmpl w:val="2EB2D852"/>
    <w:lvl w:ilvl="0" w:tplc="CFA0E25C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3F8"/>
    <w:multiLevelType w:val="hybridMultilevel"/>
    <w:tmpl w:val="37808570"/>
    <w:lvl w:ilvl="0" w:tplc="CFA0E25C">
      <w:start w:val="1"/>
      <w:numFmt w:val="bullet"/>
      <w:lvlText w:val="•"/>
      <w:lvlJc w:val="left"/>
      <w:pPr>
        <w:ind w:left="361" w:hanging="361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36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2" w15:restartNumberingAfterBreak="0">
    <w:nsid w:val="0D885079"/>
    <w:multiLevelType w:val="hybridMultilevel"/>
    <w:tmpl w:val="0742C56E"/>
    <w:lvl w:ilvl="0" w:tplc="CFA0E25C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3167"/>
    <w:multiLevelType w:val="hybridMultilevel"/>
    <w:tmpl w:val="516AD76A"/>
    <w:lvl w:ilvl="0" w:tplc="CFA0E25C">
      <w:start w:val="1"/>
      <w:numFmt w:val="bullet"/>
      <w:lvlText w:val="•"/>
      <w:lvlJc w:val="left"/>
      <w:pPr>
        <w:ind w:left="361" w:hanging="361"/>
      </w:pPr>
      <w:rPr>
        <w:rFonts w:hint="default"/>
      </w:rPr>
    </w:lvl>
    <w:lvl w:ilvl="1" w:tplc="CFA0E25C">
      <w:start w:val="1"/>
      <w:numFmt w:val="bullet"/>
      <w:lvlText w:val="•"/>
      <w:lvlJc w:val="left"/>
      <w:pPr>
        <w:ind w:left="316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4" w15:restartNumberingAfterBreak="0">
    <w:nsid w:val="2C016F31"/>
    <w:multiLevelType w:val="hybridMultilevel"/>
    <w:tmpl w:val="D2103636"/>
    <w:lvl w:ilvl="0" w:tplc="37E4B1CE">
      <w:start w:val="1"/>
      <w:numFmt w:val="bullet"/>
      <w:lvlText w:val=""/>
      <w:lvlJc w:val="left"/>
      <w:pPr>
        <w:ind w:left="816" w:hanging="360"/>
      </w:pPr>
      <w:rPr>
        <w:rFonts w:ascii="Symbol" w:eastAsia="Symbol" w:hAnsi="Symbol" w:hint="default"/>
        <w:sz w:val="22"/>
        <w:szCs w:val="22"/>
      </w:rPr>
    </w:lvl>
    <w:lvl w:ilvl="1" w:tplc="A346244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89667840">
      <w:start w:val="1"/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D1427A0A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774E746E">
      <w:start w:val="1"/>
      <w:numFmt w:val="bullet"/>
      <w:lvlText w:val="•"/>
      <w:lvlJc w:val="left"/>
      <w:pPr>
        <w:ind w:left="4354" w:hanging="360"/>
      </w:pPr>
      <w:rPr>
        <w:rFonts w:hint="default"/>
      </w:rPr>
    </w:lvl>
    <w:lvl w:ilvl="5" w:tplc="43E6360A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A8CADE3C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62DCF79A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51464D88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5" w15:restartNumberingAfterBreak="0">
    <w:nsid w:val="34706235"/>
    <w:multiLevelType w:val="hybridMultilevel"/>
    <w:tmpl w:val="B07CFFF0"/>
    <w:lvl w:ilvl="0" w:tplc="CFA0E25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63591"/>
    <w:multiLevelType w:val="hybridMultilevel"/>
    <w:tmpl w:val="82B4AF22"/>
    <w:lvl w:ilvl="0" w:tplc="CFA0E25C">
      <w:start w:val="1"/>
      <w:numFmt w:val="bullet"/>
      <w:lvlText w:val="•"/>
      <w:lvlJc w:val="left"/>
      <w:pPr>
        <w:ind w:left="361" w:hanging="361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7" w15:restartNumberingAfterBreak="0">
    <w:nsid w:val="3BD107AF"/>
    <w:multiLevelType w:val="hybridMultilevel"/>
    <w:tmpl w:val="C83065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0C8725A"/>
    <w:multiLevelType w:val="hybridMultilevel"/>
    <w:tmpl w:val="66BE0F5A"/>
    <w:lvl w:ilvl="0" w:tplc="CFA0E25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F775B"/>
    <w:multiLevelType w:val="hybridMultilevel"/>
    <w:tmpl w:val="326E18A0"/>
    <w:lvl w:ilvl="0" w:tplc="54C0BF06">
      <w:start w:val="1"/>
      <w:numFmt w:val="bullet"/>
      <w:lvlText w:val=""/>
      <w:lvlJc w:val="left"/>
      <w:pPr>
        <w:ind w:left="533" w:hanging="361"/>
      </w:pPr>
      <w:rPr>
        <w:rFonts w:ascii="Symbol" w:eastAsia="Symbol" w:hAnsi="Symbol" w:hint="default"/>
        <w:sz w:val="24"/>
        <w:szCs w:val="24"/>
      </w:rPr>
    </w:lvl>
    <w:lvl w:ilvl="1" w:tplc="CFA0E25C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2" w:tplc="8BFCBEEE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3AF2E50E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4" w:tplc="E0CC9CE2">
      <w:start w:val="1"/>
      <w:numFmt w:val="bullet"/>
      <w:lvlText w:val="•"/>
      <w:lvlJc w:val="left"/>
      <w:pPr>
        <w:ind w:left="4340" w:hanging="361"/>
      </w:pPr>
      <w:rPr>
        <w:rFonts w:hint="default"/>
      </w:rPr>
    </w:lvl>
    <w:lvl w:ilvl="5" w:tplc="1CA8B6F8">
      <w:start w:val="1"/>
      <w:numFmt w:val="bullet"/>
      <w:lvlText w:val="•"/>
      <w:lvlJc w:val="left"/>
      <w:pPr>
        <w:ind w:left="5292" w:hanging="361"/>
      </w:pPr>
      <w:rPr>
        <w:rFonts w:hint="default"/>
      </w:rPr>
    </w:lvl>
    <w:lvl w:ilvl="6" w:tplc="BAA61D9C">
      <w:start w:val="1"/>
      <w:numFmt w:val="bullet"/>
      <w:lvlText w:val="•"/>
      <w:lvlJc w:val="left"/>
      <w:pPr>
        <w:ind w:left="6244" w:hanging="361"/>
      </w:pPr>
      <w:rPr>
        <w:rFonts w:hint="default"/>
      </w:rPr>
    </w:lvl>
    <w:lvl w:ilvl="7" w:tplc="442EE4D6">
      <w:start w:val="1"/>
      <w:numFmt w:val="bullet"/>
      <w:lvlText w:val="•"/>
      <w:lvlJc w:val="left"/>
      <w:pPr>
        <w:ind w:left="7195" w:hanging="361"/>
      </w:pPr>
      <w:rPr>
        <w:rFonts w:hint="default"/>
      </w:rPr>
    </w:lvl>
    <w:lvl w:ilvl="8" w:tplc="66F66BAA">
      <w:start w:val="1"/>
      <w:numFmt w:val="bullet"/>
      <w:lvlText w:val="•"/>
      <w:lvlJc w:val="left"/>
      <w:pPr>
        <w:ind w:left="8147" w:hanging="361"/>
      </w:pPr>
      <w:rPr>
        <w:rFonts w:hint="default"/>
      </w:rPr>
    </w:lvl>
  </w:abstractNum>
  <w:abstractNum w:abstractNumId="10" w15:restartNumberingAfterBreak="0">
    <w:nsid w:val="5FC005B9"/>
    <w:multiLevelType w:val="multilevel"/>
    <w:tmpl w:val="933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628CB"/>
    <w:multiLevelType w:val="hybridMultilevel"/>
    <w:tmpl w:val="4566AA66"/>
    <w:lvl w:ilvl="0" w:tplc="8A22D83C">
      <w:start w:val="1"/>
      <w:numFmt w:val="bullet"/>
      <w:lvlText w:val=""/>
      <w:lvlJc w:val="left"/>
      <w:pPr>
        <w:ind w:left="881" w:hanging="425"/>
      </w:pPr>
      <w:rPr>
        <w:rFonts w:ascii="Symbol" w:eastAsia="Symbol" w:hAnsi="Symbol" w:hint="default"/>
        <w:sz w:val="24"/>
        <w:szCs w:val="24"/>
      </w:rPr>
    </w:lvl>
    <w:lvl w:ilvl="1" w:tplc="15D62AA8">
      <w:start w:val="1"/>
      <w:numFmt w:val="bullet"/>
      <w:lvlText w:val=""/>
      <w:lvlJc w:val="left"/>
      <w:pPr>
        <w:ind w:left="1205" w:hanging="360"/>
      </w:pPr>
      <w:rPr>
        <w:rFonts w:ascii="Symbol" w:eastAsia="Symbol" w:hAnsi="Symbol" w:hint="default"/>
        <w:sz w:val="24"/>
        <w:szCs w:val="24"/>
      </w:rPr>
    </w:lvl>
    <w:lvl w:ilvl="2" w:tplc="F2AC601A">
      <w:start w:val="1"/>
      <w:numFmt w:val="bullet"/>
      <w:lvlText w:val=""/>
      <w:lvlJc w:val="left"/>
      <w:pPr>
        <w:ind w:left="1973" w:hanging="360"/>
      </w:pPr>
      <w:rPr>
        <w:rFonts w:ascii="Wingdings" w:eastAsia="Wingdings" w:hAnsi="Wingdings" w:hint="default"/>
        <w:sz w:val="24"/>
        <w:szCs w:val="24"/>
      </w:rPr>
    </w:lvl>
    <w:lvl w:ilvl="3" w:tplc="21F6530A">
      <w:start w:val="1"/>
      <w:numFmt w:val="bullet"/>
      <w:lvlText w:val="o"/>
      <w:lvlJc w:val="left"/>
      <w:pPr>
        <w:ind w:left="2645" w:hanging="360"/>
      </w:pPr>
      <w:rPr>
        <w:rFonts w:ascii="Courier New" w:eastAsia="Courier New" w:hAnsi="Courier New" w:hint="default"/>
        <w:sz w:val="22"/>
        <w:szCs w:val="22"/>
      </w:rPr>
    </w:lvl>
    <w:lvl w:ilvl="4" w:tplc="34AC1E3A">
      <w:start w:val="1"/>
      <w:numFmt w:val="bullet"/>
      <w:lvlText w:val="•"/>
      <w:lvlJc w:val="left"/>
      <w:pPr>
        <w:ind w:left="3703" w:hanging="360"/>
      </w:pPr>
      <w:rPr>
        <w:rFonts w:hint="default"/>
      </w:rPr>
    </w:lvl>
    <w:lvl w:ilvl="5" w:tplc="13F89724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6" w:tplc="CA2A558C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3F90FF10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D0027A26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12" w15:restartNumberingAfterBreak="0">
    <w:nsid w:val="68CD4E5E"/>
    <w:multiLevelType w:val="hybridMultilevel"/>
    <w:tmpl w:val="55088A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8862A1"/>
    <w:multiLevelType w:val="hybridMultilevel"/>
    <w:tmpl w:val="8E664C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E4363"/>
    <w:multiLevelType w:val="hybridMultilevel"/>
    <w:tmpl w:val="E05E2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60352"/>
    <w:multiLevelType w:val="hybridMultilevel"/>
    <w:tmpl w:val="21EEF686"/>
    <w:lvl w:ilvl="0" w:tplc="11C654E6">
      <w:start w:val="1"/>
      <w:numFmt w:val="bullet"/>
      <w:lvlText w:val=""/>
      <w:lvlJc w:val="left"/>
      <w:pPr>
        <w:ind w:left="871" w:hanging="416"/>
      </w:pPr>
      <w:rPr>
        <w:rFonts w:ascii="Symbol" w:eastAsia="Symbol" w:hAnsi="Symbol" w:hint="default"/>
        <w:sz w:val="24"/>
        <w:szCs w:val="24"/>
      </w:rPr>
    </w:lvl>
    <w:lvl w:ilvl="1" w:tplc="92B47AF8">
      <w:start w:val="1"/>
      <w:numFmt w:val="decimal"/>
      <w:lvlText w:val="%2."/>
      <w:lvlJc w:val="left"/>
      <w:pPr>
        <w:ind w:left="1627" w:hanging="360"/>
      </w:pPr>
      <w:rPr>
        <w:rFonts w:ascii="Calibri" w:eastAsia="Calibri" w:hAnsi="Calibri" w:hint="default"/>
        <w:sz w:val="24"/>
        <w:szCs w:val="24"/>
      </w:rPr>
    </w:lvl>
    <w:lvl w:ilvl="2" w:tplc="21841172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B41C1E54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FF4ED6D4">
      <w:start w:val="1"/>
      <w:numFmt w:val="bullet"/>
      <w:lvlText w:val="•"/>
      <w:lvlJc w:val="left"/>
      <w:pPr>
        <w:ind w:left="4305" w:hanging="360"/>
      </w:pPr>
      <w:rPr>
        <w:rFonts w:hint="default"/>
      </w:rPr>
    </w:lvl>
    <w:lvl w:ilvl="5" w:tplc="22BE3196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6" w:tplc="B6D6D0E2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146027FA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FB326A9C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16" w15:restartNumberingAfterBreak="0">
    <w:nsid w:val="7CB0503E"/>
    <w:multiLevelType w:val="hybridMultilevel"/>
    <w:tmpl w:val="3CACEA42"/>
    <w:lvl w:ilvl="0" w:tplc="CFA0E25C">
      <w:start w:val="1"/>
      <w:numFmt w:val="bullet"/>
      <w:lvlText w:val="•"/>
      <w:lvlJc w:val="left"/>
      <w:pPr>
        <w:ind w:left="361" w:hanging="361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36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16"/>
  </w:num>
  <w:num w:numId="13">
    <w:abstractNumId w:val="2"/>
  </w:num>
  <w:num w:numId="14">
    <w:abstractNumId w:val="3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CA"/>
    <w:rsid w:val="00001CC8"/>
    <w:rsid w:val="00027789"/>
    <w:rsid w:val="00097CF2"/>
    <w:rsid w:val="000B184F"/>
    <w:rsid w:val="000D3E70"/>
    <w:rsid w:val="000D7D09"/>
    <w:rsid w:val="000F116B"/>
    <w:rsid w:val="000F309B"/>
    <w:rsid w:val="000F554C"/>
    <w:rsid w:val="0014276B"/>
    <w:rsid w:val="001A7BB0"/>
    <w:rsid w:val="001C2937"/>
    <w:rsid w:val="001D08CA"/>
    <w:rsid w:val="001F27E3"/>
    <w:rsid w:val="00217F1E"/>
    <w:rsid w:val="00271B4D"/>
    <w:rsid w:val="00284878"/>
    <w:rsid w:val="002D1118"/>
    <w:rsid w:val="00300C28"/>
    <w:rsid w:val="00301884"/>
    <w:rsid w:val="00310F4B"/>
    <w:rsid w:val="00336A2C"/>
    <w:rsid w:val="00363017"/>
    <w:rsid w:val="003762CA"/>
    <w:rsid w:val="003850FB"/>
    <w:rsid w:val="0038678F"/>
    <w:rsid w:val="00392686"/>
    <w:rsid w:val="003A58E2"/>
    <w:rsid w:val="003D0BBB"/>
    <w:rsid w:val="003E3549"/>
    <w:rsid w:val="003E7F57"/>
    <w:rsid w:val="004055C7"/>
    <w:rsid w:val="0041337C"/>
    <w:rsid w:val="00415D5F"/>
    <w:rsid w:val="004217E3"/>
    <w:rsid w:val="00441F53"/>
    <w:rsid w:val="00450FDB"/>
    <w:rsid w:val="004838DA"/>
    <w:rsid w:val="004C0CB6"/>
    <w:rsid w:val="004D410F"/>
    <w:rsid w:val="004F60C4"/>
    <w:rsid w:val="00536C94"/>
    <w:rsid w:val="005401C9"/>
    <w:rsid w:val="00560E49"/>
    <w:rsid w:val="00563BC6"/>
    <w:rsid w:val="00584956"/>
    <w:rsid w:val="0058736E"/>
    <w:rsid w:val="0058760B"/>
    <w:rsid w:val="005B07F2"/>
    <w:rsid w:val="005B1AA3"/>
    <w:rsid w:val="005C7F65"/>
    <w:rsid w:val="005D2F42"/>
    <w:rsid w:val="00657B12"/>
    <w:rsid w:val="00673C44"/>
    <w:rsid w:val="0069026C"/>
    <w:rsid w:val="006A2779"/>
    <w:rsid w:val="006D5E97"/>
    <w:rsid w:val="006F1A18"/>
    <w:rsid w:val="00753A50"/>
    <w:rsid w:val="007B6655"/>
    <w:rsid w:val="007D7D28"/>
    <w:rsid w:val="007E55E3"/>
    <w:rsid w:val="007E6E69"/>
    <w:rsid w:val="00805369"/>
    <w:rsid w:val="00824525"/>
    <w:rsid w:val="008859FF"/>
    <w:rsid w:val="00897E85"/>
    <w:rsid w:val="008A3621"/>
    <w:rsid w:val="008D689D"/>
    <w:rsid w:val="008E76AA"/>
    <w:rsid w:val="009374D6"/>
    <w:rsid w:val="00964008"/>
    <w:rsid w:val="009663A6"/>
    <w:rsid w:val="009C2F74"/>
    <w:rsid w:val="009C3DDF"/>
    <w:rsid w:val="009C769B"/>
    <w:rsid w:val="009D4532"/>
    <w:rsid w:val="009E6199"/>
    <w:rsid w:val="00A317DF"/>
    <w:rsid w:val="00AB71FC"/>
    <w:rsid w:val="00B07A2A"/>
    <w:rsid w:val="00B33ADD"/>
    <w:rsid w:val="00B518C1"/>
    <w:rsid w:val="00BF52B4"/>
    <w:rsid w:val="00C5162B"/>
    <w:rsid w:val="00C576A6"/>
    <w:rsid w:val="00C65272"/>
    <w:rsid w:val="00C8241B"/>
    <w:rsid w:val="00CA5B12"/>
    <w:rsid w:val="00CB669B"/>
    <w:rsid w:val="00CE0A89"/>
    <w:rsid w:val="00CF5A8A"/>
    <w:rsid w:val="00D316FF"/>
    <w:rsid w:val="00D71D9B"/>
    <w:rsid w:val="00D91AD2"/>
    <w:rsid w:val="00D949D5"/>
    <w:rsid w:val="00DC2FA8"/>
    <w:rsid w:val="00DC4803"/>
    <w:rsid w:val="00DC5798"/>
    <w:rsid w:val="00DD4B50"/>
    <w:rsid w:val="00DE7263"/>
    <w:rsid w:val="00E133FF"/>
    <w:rsid w:val="00E20119"/>
    <w:rsid w:val="00EB334C"/>
    <w:rsid w:val="00EC4B01"/>
    <w:rsid w:val="00ED1B83"/>
    <w:rsid w:val="00EE4C21"/>
    <w:rsid w:val="00F11655"/>
    <w:rsid w:val="00F216EF"/>
    <w:rsid w:val="00F4780B"/>
    <w:rsid w:val="00F55435"/>
    <w:rsid w:val="00F60725"/>
    <w:rsid w:val="00FC6B1E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8E5E"/>
  <w15:docId w15:val="{D84D3B50-713C-4742-AD00-C6239F0A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881" w:hanging="42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1205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301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C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6C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Relationship Id="rId13" Type="http://schemas.openxmlformats.org/officeDocument/2006/relationships/hyperlink" Target="https://www.intranet.monash/graduate-research/doctoral-program/cours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.monash.edu/course/view.php?id=47132" TargetMode="External"/><Relationship Id="rId12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Relationship Id="rId11" Type="http://schemas.openxmlformats.org/officeDocument/2006/relationships/hyperlink" Target="https://www.intranet.monash/graduate-research/doctoral-program/professional-dev" TargetMode="External"/><Relationship Id="rId5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Relationship Id="rId15" Type="http://schemas.openxmlformats.org/officeDocument/2006/relationships/hyperlink" Target="https://www.intranet.monash/medicine/graduate-research" TargetMode="External"/><Relationship Id="rId10" Type="http://schemas.openxmlformats.org/officeDocument/2006/relationships/hyperlink" Target="https://publicpolicydms.monash.edu/Monash/documents/2723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Relationship Id="rId14" Type="http://schemas.openxmlformats.org/officeDocument/2006/relationships/hyperlink" Target="https://www.intranet.monash/graduate-research/doctoral-program/mydevelopment?mc_eid=519c217b59&amp;mc_cid=b83145b02a&amp;mc_cid=3932f0de0f&amp;mc_eid=71714e2a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Di Palma</dc:creator>
  <cp:lastModifiedBy>Cathleen Nolan</cp:lastModifiedBy>
  <cp:revision>3</cp:revision>
  <cp:lastPrinted>2019-02-11T05:02:00Z</cp:lastPrinted>
  <dcterms:created xsi:type="dcterms:W3CDTF">2025-10-29T01:24:00Z</dcterms:created>
  <dcterms:modified xsi:type="dcterms:W3CDTF">2025-10-29T01:24:00Z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2019-01-31T00:00:00Z</vt:filetime>
  </property>
</Properties>
</file>