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E704" w14:textId="73156414" w:rsidR="00851D5A" w:rsidRPr="00885BC8" w:rsidRDefault="005A6C1F" w:rsidP="00786DCD">
      <w:pPr>
        <w:tabs>
          <w:tab w:val="left" w:pos="6690"/>
          <w:tab w:val="left" w:pos="8040"/>
        </w:tabs>
        <w:spacing w:before="40" w:line="240" w:lineRule="exact"/>
        <w:ind w:left="117" w:right="139"/>
        <w:rPr>
          <w:rFonts w:ascii="Calibri"/>
          <w:color w:val="231F20"/>
          <w:spacing w:val="-1"/>
          <w:sz w:val="20"/>
          <w:lang w:val="en-AU"/>
        </w:rPr>
      </w:pPr>
      <w:r>
        <w:rPr>
          <w:rFonts w:ascii="Calibri"/>
          <w:color w:val="231F20"/>
          <w:sz w:val="20"/>
        </w:rPr>
        <w:t xml:space="preserve">Selwyn </w:t>
      </w:r>
      <w:r>
        <w:rPr>
          <w:rFonts w:ascii="Calibri"/>
          <w:color w:val="231F20"/>
          <w:spacing w:val="-1"/>
          <w:sz w:val="20"/>
        </w:rPr>
        <w:t>Symposium</w:t>
      </w:r>
      <w:r>
        <w:rPr>
          <w:rFonts w:ascii="Calibri"/>
          <w:color w:val="231F20"/>
          <w:sz w:val="20"/>
        </w:rPr>
        <w:t xml:space="preserve"> 201</w:t>
      </w:r>
      <w:r w:rsidR="00885BC8">
        <w:rPr>
          <w:rFonts w:ascii="Calibri"/>
          <w:color w:val="231F20"/>
          <w:sz w:val="20"/>
        </w:rPr>
        <w:t>9</w:t>
      </w:r>
      <w:r>
        <w:rPr>
          <w:rFonts w:ascii="Calibri"/>
          <w:color w:val="231F20"/>
          <w:sz w:val="20"/>
        </w:rPr>
        <w:t xml:space="preserve"> </w:t>
      </w:r>
      <w:r>
        <w:rPr>
          <w:rFonts w:ascii="Calibri"/>
          <w:color w:val="231F20"/>
          <w:spacing w:val="-1"/>
          <w:sz w:val="20"/>
        </w:rPr>
        <w:t>GSA</w:t>
      </w:r>
      <w:r>
        <w:rPr>
          <w:rFonts w:ascii="Calibri"/>
          <w:color w:val="231F20"/>
          <w:sz w:val="20"/>
        </w:rPr>
        <w:t xml:space="preserve"> </w:t>
      </w:r>
      <w:r>
        <w:rPr>
          <w:rFonts w:ascii="Calibri"/>
          <w:color w:val="231F20"/>
          <w:spacing w:val="-1"/>
          <w:sz w:val="20"/>
        </w:rPr>
        <w:t>Victoria</w:t>
      </w:r>
      <w:r>
        <w:rPr>
          <w:rFonts w:ascii="Calibri"/>
          <w:color w:val="231F20"/>
          <w:sz w:val="20"/>
        </w:rPr>
        <w:t xml:space="preserve"> Division</w:t>
      </w:r>
      <w:r>
        <w:rPr>
          <w:rFonts w:ascii="Calibri"/>
          <w:color w:val="231F20"/>
          <w:sz w:val="20"/>
        </w:rPr>
        <w:tab/>
      </w:r>
      <w:r>
        <w:rPr>
          <w:rFonts w:ascii="Calibri"/>
          <w:color w:val="231F20"/>
          <w:spacing w:val="-1"/>
          <w:sz w:val="20"/>
        </w:rPr>
        <w:t>Geological</w:t>
      </w:r>
      <w:r>
        <w:rPr>
          <w:rFonts w:ascii="Calibri"/>
          <w:color w:val="231F20"/>
          <w:sz w:val="20"/>
        </w:rPr>
        <w:t xml:space="preserve"> </w:t>
      </w:r>
      <w:r>
        <w:rPr>
          <w:rFonts w:ascii="Calibri"/>
          <w:color w:val="231F20"/>
          <w:spacing w:val="-1"/>
          <w:sz w:val="20"/>
        </w:rPr>
        <w:t>Society</w:t>
      </w:r>
      <w:r>
        <w:rPr>
          <w:rFonts w:ascii="Calibri"/>
          <w:color w:val="231F20"/>
          <w:sz w:val="20"/>
        </w:rPr>
        <w:t xml:space="preserve"> of </w:t>
      </w:r>
      <w:r>
        <w:rPr>
          <w:rFonts w:ascii="Calibri"/>
          <w:color w:val="231F20"/>
          <w:spacing w:val="-1"/>
          <w:sz w:val="20"/>
        </w:rPr>
        <w:t>Australia</w:t>
      </w:r>
      <w:r>
        <w:rPr>
          <w:rFonts w:ascii="Calibri"/>
          <w:color w:val="231F20"/>
          <w:spacing w:val="59"/>
          <w:sz w:val="20"/>
        </w:rPr>
        <w:t xml:space="preserve"> </w:t>
      </w:r>
      <w:proofErr w:type="gramStart"/>
      <w:r w:rsidR="00885BC8" w:rsidRPr="00885BC8">
        <w:rPr>
          <w:rFonts w:ascii="Calibri"/>
          <w:color w:val="231F20"/>
          <w:spacing w:val="-1"/>
          <w:sz w:val="20"/>
          <w:lang w:val="en-AU"/>
        </w:rPr>
        <w:t>The</w:t>
      </w:r>
      <w:proofErr w:type="gramEnd"/>
      <w:r w:rsidR="00885BC8" w:rsidRPr="00885BC8">
        <w:rPr>
          <w:rFonts w:ascii="Calibri"/>
          <w:color w:val="231F20"/>
          <w:spacing w:val="-1"/>
          <w:sz w:val="20"/>
          <w:lang w:val="en-AU"/>
        </w:rPr>
        <w:t xml:space="preserve"> co-evolution of life and Precambrian environments</w:t>
      </w:r>
      <w:r>
        <w:rPr>
          <w:rFonts w:ascii="Calibri"/>
          <w:color w:val="231F20"/>
          <w:spacing w:val="-1"/>
          <w:sz w:val="20"/>
        </w:rPr>
        <w:tab/>
      </w:r>
      <w:r>
        <w:rPr>
          <w:rFonts w:ascii="Calibri"/>
          <w:color w:val="231F20"/>
          <w:spacing w:val="-1"/>
          <w:sz w:val="20"/>
        </w:rPr>
        <w:tab/>
        <w:t>Abstracts</w:t>
      </w:r>
      <w:r>
        <w:rPr>
          <w:rFonts w:ascii="Calibri"/>
          <w:color w:val="231F20"/>
          <w:sz w:val="20"/>
        </w:rPr>
        <w:t xml:space="preserve"> 1</w:t>
      </w:r>
      <w:r w:rsidR="00885BC8">
        <w:rPr>
          <w:rFonts w:ascii="Calibri"/>
          <w:color w:val="231F20"/>
          <w:sz w:val="20"/>
        </w:rPr>
        <w:t>30</w:t>
      </w:r>
    </w:p>
    <w:p w14:paraId="53166197" w14:textId="77777777" w:rsidR="00851D5A" w:rsidRDefault="00851D5A" w:rsidP="00786DCD">
      <w:pPr>
        <w:rPr>
          <w:rFonts w:ascii="Calibri" w:eastAsia="Calibri" w:hAnsi="Calibri" w:cs="Calibri"/>
          <w:sz w:val="5"/>
          <w:szCs w:val="5"/>
        </w:rPr>
      </w:pPr>
    </w:p>
    <w:p w14:paraId="1CAAAF3B" w14:textId="77777777" w:rsidR="00851D5A" w:rsidRDefault="00885BC8" w:rsidP="00786DCD">
      <w:pPr>
        <w:spacing w:line="20" w:lineRule="atLeast"/>
        <w:ind w:left="1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97C3FE2" wp14:editId="6EAB9039">
                <wp:extent cx="5748655" cy="12700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12700"/>
                          <a:chOff x="0" y="0"/>
                          <a:chExt cx="9053" cy="2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034" cy="2"/>
                            <a:chOff x="10" y="10"/>
                            <a:chExt cx="903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0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034"/>
                                <a:gd name="T2" fmla="+- 0 9043 10"/>
                                <a:gd name="T3" fmla="*/ T2 w 9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4">
                                  <a:moveTo>
                                    <a:pt x="0" y="0"/>
                                  </a:moveTo>
                                  <a:lnTo>
                                    <a:pt x="9033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65368D" id="Group 5" o:spid="_x0000_s1026" style="width:452.65pt;height:1pt;mso-position-horizontal-relative:char;mso-position-vertical-relative:line" coordsize="90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">
                <v:group id="Group 6" o:spid="_x0000_s1027" style="position:absolute;left:10;top:10;width:9034;height:2" coordorigin="10,10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7" o:spid="_x0000_s1028" style="position:absolute;left:10;top:10;width:9034;height:2;visibility:visible;mso-wrap-style:square;v-text-anchor:top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" path="m,l9033,e" filled="f" strokecolor="#231f20" strokeweight=".34994mm">
                    <v:path arrowok="t" o:connecttype="custom" o:connectlocs="0,0;9033,0" o:connectangles="0,0"/>
                  </v:shape>
                </v:group>
                <w10:anchorlock/>
              </v:group>
            </w:pict>
          </mc:Fallback>
        </mc:AlternateContent>
      </w:r>
    </w:p>
    <w:p w14:paraId="5B1127F3" w14:textId="77777777" w:rsidR="00851D5A" w:rsidRDefault="00851D5A" w:rsidP="00786DCD">
      <w:pPr>
        <w:spacing w:before="3"/>
        <w:rPr>
          <w:rFonts w:ascii="Calibri" w:eastAsia="Calibri" w:hAnsi="Calibri" w:cs="Calibri"/>
          <w:sz w:val="19"/>
          <w:szCs w:val="19"/>
        </w:rPr>
      </w:pPr>
    </w:p>
    <w:p w14:paraId="3C3673FD" w14:textId="21F8F070" w:rsidR="00851D5A" w:rsidRDefault="005A6C1F" w:rsidP="00786DCD">
      <w:pPr>
        <w:spacing w:before="42" w:line="384" w:lineRule="exact"/>
        <w:ind w:left="117" w:right="798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color w:val="231F20"/>
          <w:sz w:val="32"/>
        </w:rPr>
        <w:t>A</w:t>
      </w:r>
      <w:r w:rsidR="00885BC8">
        <w:rPr>
          <w:rFonts w:ascii="Calibri"/>
          <w:b/>
          <w:color w:val="231F20"/>
          <w:spacing w:val="-13"/>
          <w:sz w:val="32"/>
        </w:rPr>
        <w:t>BSTRACT TITLE</w:t>
      </w:r>
    </w:p>
    <w:p w14:paraId="100C7B2B" w14:textId="77777777" w:rsidR="00851D5A" w:rsidRDefault="00851D5A" w:rsidP="00786DCD">
      <w:pPr>
        <w:spacing w:before="10"/>
        <w:rPr>
          <w:rFonts w:ascii="Calibri" w:eastAsia="Calibri" w:hAnsi="Calibri" w:cs="Calibri"/>
          <w:b/>
          <w:bCs/>
          <w:sz w:val="26"/>
          <w:szCs w:val="26"/>
        </w:rPr>
      </w:pPr>
    </w:p>
    <w:p w14:paraId="5E27345D" w14:textId="53224DCC" w:rsidR="00851D5A" w:rsidRDefault="00442B46" w:rsidP="00786DCD">
      <w:pPr>
        <w:spacing w:before="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Patricia Vickers-Rich</w:t>
      </w:r>
    </w:p>
    <w:p w14:paraId="2A470C37" w14:textId="4B2BC704" w:rsidR="00851D5A" w:rsidRDefault="00273577" w:rsidP="00442B46">
      <w:pPr>
        <w:spacing w:line="263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Department of Chemistry and Biotechnology, Faculty of Science Swinburne University of Technology, Melbourne (Hawthorn)</w:t>
      </w:r>
    </w:p>
    <w:p w14:paraId="697ECDBA" w14:textId="1B727E9C" w:rsidR="00273577" w:rsidRDefault="00273577" w:rsidP="00442B46">
      <w:pPr>
        <w:spacing w:line="263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And</w:t>
      </w:r>
    </w:p>
    <w:p w14:paraId="3FB50B3E" w14:textId="1E1046AF" w:rsidR="00273577" w:rsidRDefault="00273577" w:rsidP="00442B46">
      <w:pPr>
        <w:spacing w:line="263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School of Earth, Atmosphere and Environment, Faculty of Science, Monash University, Melbourne (Clayton), </w:t>
      </w:r>
    </w:p>
    <w:p w14:paraId="71746071" w14:textId="386F6A7B" w:rsidR="00273577" w:rsidRDefault="00273577" w:rsidP="00442B46">
      <w:pPr>
        <w:spacing w:line="263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Victoria, Australia</w:t>
      </w:r>
    </w:p>
    <w:p w14:paraId="02AC74DF" w14:textId="77777777" w:rsidR="00851D5A" w:rsidRDefault="00851D5A" w:rsidP="00786DCD">
      <w:pPr>
        <w:rPr>
          <w:rFonts w:ascii="Calibri" w:eastAsia="Calibri" w:hAnsi="Calibri" w:cs="Calibri"/>
          <w:sz w:val="20"/>
          <w:szCs w:val="20"/>
        </w:rPr>
      </w:pPr>
    </w:p>
    <w:p w14:paraId="2D0C4F27" w14:textId="77777777" w:rsidR="00851D5A" w:rsidRDefault="00851D5A" w:rsidP="00786DCD">
      <w:pPr>
        <w:rPr>
          <w:rFonts w:ascii="Calibri" w:eastAsia="Calibri" w:hAnsi="Calibri" w:cs="Calibri"/>
          <w:sz w:val="20"/>
          <w:szCs w:val="20"/>
        </w:rPr>
      </w:pPr>
    </w:p>
    <w:p w14:paraId="4C45513A" w14:textId="0F6ABE5D" w:rsidR="00851D5A" w:rsidRDefault="00885BC8" w:rsidP="00786DC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softHyphen/>
      </w:r>
      <w:r>
        <w:rPr>
          <w:rFonts w:ascii="Calibri" w:eastAsia="Calibri" w:hAnsi="Calibri" w:cs="Calibri"/>
          <w:sz w:val="20"/>
          <w:szCs w:val="20"/>
        </w:rPr>
        <w:softHyphen/>
      </w:r>
    </w:p>
    <w:p w14:paraId="1A4A088C" w14:textId="77777777" w:rsidR="00851D5A" w:rsidRDefault="00851D5A" w:rsidP="00786DCD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25369A9C" w14:textId="77777777" w:rsidR="00851D5A" w:rsidRDefault="00885BC8" w:rsidP="00786DCD">
      <w:pPr>
        <w:spacing w:line="20" w:lineRule="atLeast"/>
        <w:ind w:left="11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6C8D3B7" wp14:editId="216EFACF">
                <wp:extent cx="5748655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655" cy="12700"/>
                          <a:chOff x="0" y="0"/>
                          <a:chExt cx="9053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034" cy="2"/>
                            <a:chOff x="10" y="10"/>
                            <a:chExt cx="903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0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034"/>
                                <a:gd name="T2" fmla="+- 0 9043 10"/>
                                <a:gd name="T3" fmla="*/ T2 w 9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4">
                                  <a:moveTo>
                                    <a:pt x="0" y="0"/>
                                  </a:moveTo>
                                  <a:lnTo>
                                    <a:pt x="9033" y="0"/>
                                  </a:lnTo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315FDC" id="Group 2" o:spid="_x0000_s1026" style="width:452.65pt;height:1pt;mso-position-horizontal-relative:char;mso-position-vertical-relative:line" coordsize="90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">
                <v:group id="Group 3" o:spid="_x0000_s1027" style="position:absolute;left:10;top:10;width:9034;height:2" coordorigin="10,10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10;top:10;width:9034;height:2;visibility:visible;mso-wrap-style:square;v-text-anchor:top" coordsize="9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" path="m,l9033,e" filled="f" strokecolor="#231f20" strokeweight=".34994mm">
                    <v:path arrowok="t" o:connecttype="custom" o:connectlocs="0,0;9033,0" o:connectangles="0,0"/>
                  </v:shape>
                </v:group>
                <w10:anchorlock/>
              </v:group>
            </w:pict>
          </mc:Fallback>
        </mc:AlternateContent>
      </w:r>
    </w:p>
    <w:p w14:paraId="3AD60B8B" w14:textId="77777777" w:rsidR="00851D5A" w:rsidRDefault="00851D5A" w:rsidP="00786DCD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851D5A">
          <w:footerReference w:type="even" r:id="rId6"/>
          <w:footerReference w:type="default" r:id="rId7"/>
          <w:type w:val="continuous"/>
          <w:pgSz w:w="11910" w:h="16840"/>
          <w:pgMar w:top="620" w:right="1320" w:bottom="0" w:left="1300" w:header="720" w:footer="720" w:gutter="0"/>
          <w:cols w:space="720"/>
        </w:sectPr>
      </w:pPr>
    </w:p>
    <w:p w14:paraId="2B8999DD" w14:textId="76BCE144" w:rsidR="00786DCD" w:rsidRDefault="00273577" w:rsidP="00273577">
      <w:pPr>
        <w:pStyle w:val="Heading1"/>
        <w:spacing w:before="170" w:line="288" w:lineRule="exact"/>
        <w:ind w:right="142"/>
        <w:rPr>
          <w:color w:val="231F20"/>
          <w:spacing w:val="-1"/>
        </w:rPr>
      </w:pPr>
      <w:bookmarkStart w:id="0" w:name="_GoBack"/>
      <w:bookmarkEnd w:id="0"/>
      <w:r>
        <w:rPr>
          <w:color w:val="231F20"/>
          <w:spacing w:val="-1"/>
        </w:rPr>
        <w:t xml:space="preserve">The End of a </w:t>
      </w:r>
      <w:proofErr w:type="spellStart"/>
      <w:r>
        <w:rPr>
          <w:color w:val="231F20"/>
          <w:spacing w:val="-1"/>
        </w:rPr>
        <w:t>SuperEon</w:t>
      </w:r>
      <w:proofErr w:type="spellEnd"/>
      <w:r>
        <w:rPr>
          <w:color w:val="231F20"/>
          <w:spacing w:val="-1"/>
        </w:rPr>
        <w:t>, the Ediacaran of Southern Namibia</w:t>
      </w:r>
    </w:p>
    <w:p w14:paraId="471AEDD5" w14:textId="77777777" w:rsidR="00273577" w:rsidRDefault="00273577" w:rsidP="00273577">
      <w:pPr>
        <w:pStyle w:val="Heading1"/>
        <w:spacing w:before="170" w:line="288" w:lineRule="exact"/>
        <w:ind w:right="142"/>
        <w:rPr>
          <w:color w:val="231F20"/>
          <w:spacing w:val="-1"/>
        </w:rPr>
      </w:pPr>
    </w:p>
    <w:p w14:paraId="60BDCE4E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 xml:space="preserve">Namibia has been a key region for understanding Ediacaran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palaeontology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since early days of the 20</w:t>
      </w:r>
      <w:r w:rsidRPr="00CE4FCA">
        <w:rPr>
          <w:rFonts w:cs="Swiss721BT-Light"/>
          <w:color w:val="221F20"/>
          <w:sz w:val="20"/>
          <w:szCs w:val="20"/>
          <w:vertAlign w:val="superscript"/>
        </w:rPr>
        <w:t>th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century, when geologists such as Paul Range and German </w:t>
      </w:r>
      <w:r>
        <w:rPr>
          <w:rFonts w:cs="Swiss721BT-Light"/>
          <w:color w:val="221F20"/>
          <w:sz w:val="20"/>
          <w:szCs w:val="20"/>
        </w:rPr>
        <w:t>soldiers posted at</w:t>
      </w:r>
      <w:r w:rsidRPr="00B073C8">
        <w:rPr>
          <w:rFonts w:cs="Swiss721BT-Light"/>
          <w:color w:val="221F20"/>
          <w:sz w:val="20"/>
          <w:szCs w:val="20"/>
        </w:rPr>
        <w:t xml:space="preserve"> isolate</w:t>
      </w:r>
      <w:r>
        <w:rPr>
          <w:rFonts w:cs="Swiss721BT-Light"/>
          <w:color w:val="221F20"/>
          <w:sz w:val="20"/>
          <w:szCs w:val="20"/>
        </w:rPr>
        <w:t xml:space="preserve">d outposts in the </w:t>
      </w:r>
      <w:proofErr w:type="spellStart"/>
      <w:r>
        <w:rPr>
          <w:rFonts w:cs="Swiss721BT-Light"/>
          <w:color w:val="221F20"/>
          <w:sz w:val="20"/>
          <w:szCs w:val="20"/>
        </w:rPr>
        <w:t>Aus</w:t>
      </w:r>
      <w:proofErr w:type="spellEnd"/>
      <w:r>
        <w:rPr>
          <w:rFonts w:cs="Swiss721BT-Light"/>
          <w:color w:val="221F20"/>
          <w:sz w:val="20"/>
          <w:szCs w:val="20"/>
        </w:rPr>
        <w:t xml:space="preserve"> region of </w:t>
      </w:r>
      <w:r w:rsidRPr="00B073C8">
        <w:rPr>
          <w:rFonts w:cs="Swiss721BT-Light"/>
          <w:color w:val="221F20"/>
          <w:sz w:val="20"/>
          <w:szCs w:val="20"/>
        </w:rPr>
        <w:t>southern Nami</w:t>
      </w:r>
      <w:r>
        <w:rPr>
          <w:rFonts w:cs="Swiss721BT-Light"/>
          <w:color w:val="221F20"/>
          <w:sz w:val="20"/>
          <w:szCs w:val="20"/>
        </w:rPr>
        <w:t>bia first reported strange fossils from here</w:t>
      </w:r>
      <w:r w:rsidRPr="00B073C8">
        <w:rPr>
          <w:rFonts w:cs="Swiss721BT-Light"/>
          <w:color w:val="221F20"/>
          <w:sz w:val="20"/>
          <w:szCs w:val="20"/>
        </w:rPr>
        <w:t xml:space="preserve">. </w:t>
      </w:r>
    </w:p>
    <w:p w14:paraId="6CA07EF8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6433DADD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 xml:space="preserve">The first formal name for a complex Ediacaran fossil from Namibia was given by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in 1930, when he proposed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schneiderhoehni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for an enigmatic, cm-scale frond that had been collected from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Dabis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Formation</w:t>
      </w:r>
      <w:r>
        <w:rPr>
          <w:rFonts w:cs="Swiss721BT-Light"/>
          <w:color w:val="221F20"/>
          <w:sz w:val="20"/>
          <w:szCs w:val="20"/>
        </w:rPr>
        <w:t xml:space="preserve"> in the south of the country</w:t>
      </w:r>
      <w:r w:rsidRPr="00B073C8">
        <w:rPr>
          <w:rFonts w:cs="Swiss721BT-Light"/>
          <w:color w:val="221F20"/>
          <w:sz w:val="20"/>
          <w:szCs w:val="20"/>
        </w:rPr>
        <w:t xml:space="preserve">. </w:t>
      </w:r>
      <w:r>
        <w:rPr>
          <w:rFonts w:cs="Swiss721BT-Light"/>
          <w:color w:val="221F20"/>
          <w:sz w:val="20"/>
          <w:szCs w:val="20"/>
        </w:rPr>
        <w:t xml:space="preserve"> 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1930</w:t>
      </w:r>
      <w:r>
        <w:rPr>
          <w:rFonts w:cs="Swiss721BT-Light"/>
          <w:color w:val="221F20"/>
          <w:sz w:val="20"/>
          <w:szCs w:val="20"/>
        </w:rPr>
        <w:t>, predated</w:t>
      </w:r>
      <w:r w:rsidRPr="00B073C8"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Sprigg’s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(1947) description of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Dickinsonia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>
        <w:rPr>
          <w:rFonts w:cs="Swiss721BT-Light"/>
          <w:color w:val="221F20"/>
          <w:sz w:val="20"/>
          <w:szCs w:val="20"/>
        </w:rPr>
        <w:t>from the Flinders Range</w:t>
      </w:r>
      <w:r w:rsidRPr="00B073C8">
        <w:rPr>
          <w:rFonts w:cs="Swiss721BT-Light"/>
          <w:color w:val="221F20"/>
          <w:sz w:val="20"/>
          <w:szCs w:val="20"/>
        </w:rPr>
        <w:t xml:space="preserve"> in Australia by nearly two decades and Ford’s (1958) description of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Charnia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from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Charnwood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Forest in England by nearly three. This </w:t>
      </w:r>
      <w:r>
        <w:rPr>
          <w:rFonts w:cs="Swiss721BT-Light"/>
          <w:color w:val="221F20"/>
          <w:sz w:val="20"/>
          <w:szCs w:val="20"/>
        </w:rPr>
        <w:t>Namibian fossil</w:t>
      </w:r>
      <w:r w:rsidRPr="00B073C8">
        <w:rPr>
          <w:rFonts w:cs="Swiss721BT-Light"/>
          <w:color w:val="221F20"/>
          <w:sz w:val="20"/>
          <w:szCs w:val="20"/>
        </w:rPr>
        <w:t xml:space="preserve"> was not a simple disc that could be described and then </w:t>
      </w:r>
      <w:proofErr w:type="gramStart"/>
      <w:r w:rsidRPr="00B073C8">
        <w:rPr>
          <w:rFonts w:cs="Swiss721BT-Light"/>
          <w:color w:val="221F20"/>
          <w:sz w:val="20"/>
          <w:szCs w:val="20"/>
        </w:rPr>
        <w:t>forgotten  –</w:t>
      </w:r>
      <w:proofErr w:type="gramEnd"/>
      <w:r w:rsidRPr="00B073C8">
        <w:rPr>
          <w:rFonts w:cs="Swiss721BT-Light"/>
          <w:color w:val="221F20"/>
          <w:sz w:val="20"/>
          <w:szCs w:val="20"/>
        </w:rPr>
        <w:t xml:space="preserve"> it was a frond covered with features so complex that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assumed that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must be Cambrian in age.</w:t>
      </w:r>
    </w:p>
    <w:p w14:paraId="34604A58" w14:textId="77777777" w:rsidR="00273577" w:rsidRPr="00B073C8" w:rsidRDefault="00273577" w:rsidP="00273577">
      <w:pPr>
        <w:jc w:val="both"/>
        <w:rPr>
          <w:rFonts w:cs="Swiss721BT-Italic"/>
          <w:i/>
          <w:iCs/>
          <w:color w:val="221F20"/>
          <w:sz w:val="16"/>
          <w:szCs w:val="16"/>
        </w:rPr>
      </w:pPr>
    </w:p>
    <w:p w14:paraId="6D10E7AF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>
        <w:rPr>
          <w:rFonts w:cs="Swiss721BT-Light"/>
          <w:color w:val="221F20"/>
          <w:sz w:val="20"/>
          <w:szCs w:val="20"/>
        </w:rPr>
        <w:t xml:space="preserve">Nearly </w:t>
      </w:r>
      <w:r w:rsidRPr="00B073C8">
        <w:rPr>
          <w:rFonts w:cs="Swiss721BT-Light"/>
          <w:color w:val="221F20"/>
          <w:sz w:val="20"/>
          <w:szCs w:val="20"/>
        </w:rPr>
        <w:t xml:space="preserve">early 90 years since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Gürich’s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designation,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and other core Ediacaran forms have become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bellweather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taxa for our changing interpretations of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Ediacara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biota.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was originally regarded as a primitive member of an extant phylum, perhaps a primitive ctenophore (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, 1930, 1933; Dzik, 2002) or cnidarian (Richter, 1955; Jenkins, 1985, 1992).  Seilacher (1992),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Grazhdankin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and Seilacher (2005), and Seilacher and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Gishlick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(2014) specifically removed it from the Animalia and regarded it as a core taxon of Seilacher’s proposed kingdom ‘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Vendobionta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’.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Pflug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(1970</w:t>
      </w:r>
      <w:proofErr w:type="gramStart"/>
      <w:r w:rsidRPr="00B073C8">
        <w:rPr>
          <w:rFonts w:cs="Swiss721BT-Light"/>
          <w:color w:val="221F20"/>
          <w:sz w:val="20"/>
          <w:szCs w:val="20"/>
        </w:rPr>
        <w:t>a,b</w:t>
      </w:r>
      <w:proofErr w:type="gramEnd"/>
      <w:r w:rsidRPr="00B073C8">
        <w:rPr>
          <w:rFonts w:cs="Swiss721BT-Light"/>
          <w:color w:val="221F20"/>
          <w:sz w:val="20"/>
          <w:szCs w:val="20"/>
        </w:rPr>
        <w:t xml:space="preserve">, 1972) designated it as the type genus of a key Ediacaran division of life,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Rangeomorpha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, a view subsequently endorsed and refined by Narbonne (2004),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Gehling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and Narbonne (2007), Laflamme and Narbonne (2008), Xiao and Laflamme (2009), Erwin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 (2011) and Laflamme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 (2013). Vickers-Rich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>. (2013) described complete, three-dimensional specimens from a gutter-cast on Farm Aar</w:t>
      </w:r>
      <w:r>
        <w:rPr>
          <w:rFonts w:cs="Swiss721BT-Light"/>
          <w:color w:val="221F20"/>
          <w:sz w:val="20"/>
          <w:szCs w:val="20"/>
        </w:rPr>
        <w:t xml:space="preserve"> in southern Namibia</w:t>
      </w:r>
      <w:r w:rsidRPr="00B073C8">
        <w:rPr>
          <w:rFonts w:cs="Swiss721BT-Light"/>
          <w:color w:val="221F20"/>
          <w:sz w:val="20"/>
          <w:szCs w:val="20"/>
        </w:rPr>
        <w:t xml:space="preserve"> that allow</w:t>
      </w:r>
      <w:r>
        <w:rPr>
          <w:rFonts w:cs="Swiss721BT-Light"/>
          <w:color w:val="221F20"/>
          <w:sz w:val="20"/>
          <w:szCs w:val="20"/>
        </w:rPr>
        <w:t>ed</w:t>
      </w:r>
      <w:r w:rsidRPr="00B073C8"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to be reconstructed as a six</w:t>
      </w:r>
      <w:r>
        <w:rPr>
          <w:rFonts w:cs="Swiss721BT-Light"/>
          <w:color w:val="221F20"/>
          <w:sz w:val="20"/>
          <w:szCs w:val="20"/>
        </w:rPr>
        <w:t>-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vaned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multifoliate frond </w:t>
      </w:r>
      <w:r>
        <w:rPr>
          <w:rFonts w:cs="Swiss721BT-Light"/>
          <w:color w:val="221F20"/>
          <w:sz w:val="20"/>
          <w:szCs w:val="20"/>
        </w:rPr>
        <w:t>with an expanded basal bulb which</w:t>
      </w:r>
      <w:r w:rsidRPr="00B073C8">
        <w:rPr>
          <w:rFonts w:cs="Swiss721BT-Light"/>
          <w:color w:val="221F20"/>
          <w:sz w:val="20"/>
          <w:szCs w:val="20"/>
        </w:rPr>
        <w:t xml:space="preserve"> acted as a weight-belt </w:t>
      </w:r>
      <w:r>
        <w:rPr>
          <w:rFonts w:cs="Swiss721BT-Light"/>
          <w:color w:val="221F20"/>
          <w:sz w:val="20"/>
          <w:szCs w:val="20"/>
        </w:rPr>
        <w:t xml:space="preserve">situated </w:t>
      </w:r>
      <w:r w:rsidRPr="00B073C8">
        <w:rPr>
          <w:rFonts w:cs="Swiss721BT-Light"/>
          <w:color w:val="221F20"/>
          <w:sz w:val="20"/>
          <w:szCs w:val="20"/>
        </w:rPr>
        <w:t>on</w:t>
      </w:r>
      <w:r>
        <w:rPr>
          <w:rFonts w:cs="Swiss721BT-Light"/>
          <w:color w:val="221F20"/>
          <w:sz w:val="20"/>
          <w:szCs w:val="20"/>
        </w:rPr>
        <w:t>, or perhaps in</w:t>
      </w:r>
      <w:r w:rsidRPr="00B073C8">
        <w:rPr>
          <w:rFonts w:cs="Swiss721BT-Light"/>
          <w:color w:val="221F20"/>
          <w:sz w:val="20"/>
          <w:szCs w:val="20"/>
        </w:rPr>
        <w:t xml:space="preserve"> the sediment.</w:t>
      </w:r>
    </w:p>
    <w:p w14:paraId="3C951CFC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3F85C57D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 xml:space="preserve">Another group that nearly unique to the Nama Group are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erniettomorphs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–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Ernietta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,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Pteridinium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, and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Swartpuntia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. </w:t>
      </w:r>
      <w:r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Pteridinium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simplex</w:t>
      </w:r>
      <w:r w:rsidRPr="00B073C8">
        <w:rPr>
          <w:rFonts w:cs="Swiss721BT-Light"/>
          <w:color w:val="221F20"/>
          <w:sz w:val="20"/>
          <w:szCs w:val="20"/>
        </w:rPr>
        <w:t xml:space="preserve"> was first described by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Gürich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>
        <w:rPr>
          <w:rFonts w:cs="Swiss721BT-Light"/>
          <w:color w:val="221F20"/>
          <w:sz w:val="20"/>
          <w:szCs w:val="20"/>
        </w:rPr>
        <w:t>in 1933, and its body consisted</w:t>
      </w:r>
      <w:r w:rsidRPr="00B073C8">
        <w:rPr>
          <w:rFonts w:cs="Swiss721BT-Light"/>
          <w:color w:val="221F20"/>
          <w:sz w:val="20"/>
          <w:szCs w:val="20"/>
        </w:rPr>
        <w:t xml:space="preserve"> of a double-layered palisade of tubes, an architecture quite distinct from the fractal morphology of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Rangea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and other rangeomorphs. Thus far, all specimens of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Pteridinium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have been found in transported masses, and their lifestyle is controversial.  Traditional views (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e.g</w:t>
      </w:r>
      <w:r w:rsidRPr="00B073C8">
        <w:rPr>
          <w:rFonts w:cs="Swiss721BT-Light"/>
          <w:color w:val="221F20"/>
          <w:sz w:val="20"/>
          <w:szCs w:val="20"/>
        </w:rPr>
        <w:t xml:space="preserve">. Jenkins, 1985) regarded them as fronds extending into the water column, but this was disputed by Seilacher (1989, 1992) and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Grazhdankin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and Seilacher (2005), who regarded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Pteridinium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as mainly or completely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infaunal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(</w:t>
      </w:r>
      <w:r w:rsidRPr="00B073C8">
        <w:rPr>
          <w:rFonts w:cs="Swiss721BT-Light"/>
          <w:color w:val="014D9D"/>
          <w:sz w:val="20"/>
          <w:szCs w:val="20"/>
        </w:rPr>
        <w:t>Fig. 10</w:t>
      </w:r>
      <w:r w:rsidRPr="00B073C8">
        <w:rPr>
          <w:rFonts w:cs="Swiss721BT-Light"/>
          <w:color w:val="221F20"/>
          <w:sz w:val="20"/>
          <w:szCs w:val="20"/>
        </w:rPr>
        <w:t xml:space="preserve">). Subsequent studies by Elliott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 (2011) and Meyer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 (2014a, b) refuted much of the evidence provided for an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infaunal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lifestyle, but the question of lifestyle still remains unresolved.</w:t>
      </w:r>
    </w:p>
    <w:p w14:paraId="09F6335E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451D404A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Ernietta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Pflug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1966, is a bag-shaped fossil also constructed of the doub</w:t>
      </w:r>
      <w:r>
        <w:rPr>
          <w:rFonts w:cs="Swiss721BT-Light"/>
          <w:color w:val="221F20"/>
          <w:sz w:val="20"/>
          <w:szCs w:val="20"/>
        </w:rPr>
        <w:t xml:space="preserve">le-layered palisade of parallel </w:t>
      </w:r>
      <w:r w:rsidRPr="00B073C8">
        <w:rPr>
          <w:rFonts w:cs="Swiss721BT-Light"/>
          <w:color w:val="221F20"/>
          <w:sz w:val="20"/>
          <w:szCs w:val="20"/>
        </w:rPr>
        <w:t>tubes diagnost</w:t>
      </w:r>
      <w:r>
        <w:rPr>
          <w:rFonts w:cs="Swiss721BT-Light"/>
          <w:color w:val="221F20"/>
          <w:sz w:val="20"/>
          <w:szCs w:val="20"/>
        </w:rPr>
        <w:t xml:space="preserve">ic of the </w:t>
      </w:r>
      <w:proofErr w:type="spellStart"/>
      <w:r>
        <w:rPr>
          <w:rFonts w:cs="Swiss721BT-Light"/>
          <w:color w:val="221F20"/>
          <w:sz w:val="20"/>
          <w:szCs w:val="20"/>
        </w:rPr>
        <w:t>Erniettomorpha</w:t>
      </w:r>
      <w:proofErr w:type="spellEnd"/>
      <w:r>
        <w:rPr>
          <w:rFonts w:cs="Swiss721BT-Light"/>
          <w:color w:val="221F20"/>
          <w:sz w:val="20"/>
          <w:szCs w:val="20"/>
        </w:rPr>
        <w:t>.  K</w:t>
      </w:r>
      <w:r w:rsidRPr="00B073C8">
        <w:rPr>
          <w:rFonts w:cs="Swiss721BT-Light"/>
          <w:color w:val="221F20"/>
          <w:sz w:val="20"/>
          <w:szCs w:val="20"/>
        </w:rPr>
        <w:t>nown from literally hundreds of specimens</w:t>
      </w:r>
      <w:r>
        <w:rPr>
          <w:rFonts w:cs="Swiss721BT-Light"/>
          <w:color w:val="221F20"/>
          <w:sz w:val="20"/>
          <w:szCs w:val="20"/>
        </w:rPr>
        <w:t xml:space="preserve">, most of them </w:t>
      </w:r>
      <w:r w:rsidRPr="00B073C8">
        <w:rPr>
          <w:rFonts w:cs="Swiss721BT-Light"/>
          <w:color w:val="221F20"/>
          <w:sz w:val="20"/>
          <w:szCs w:val="20"/>
        </w:rPr>
        <w:t xml:space="preserve">from float and all of them until recently incomplete, preserving only the basal part of the fossil. A recent discovery, however, of complete, three-dimensionally preserved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Ernietta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fossils in a gutter-cast from Farm Aar now permits recognition of the full structure of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Ernietta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>
        <w:rPr>
          <w:rFonts w:cs="Swiss721BT-Light"/>
          <w:color w:val="221F20"/>
          <w:sz w:val="20"/>
          <w:szCs w:val="20"/>
        </w:rPr>
        <w:t>as consisting of</w:t>
      </w:r>
      <w:r w:rsidRPr="00B073C8">
        <w:rPr>
          <w:rFonts w:cs="Swiss721BT-Light"/>
          <w:color w:val="221F20"/>
          <w:sz w:val="20"/>
          <w:szCs w:val="20"/>
        </w:rPr>
        <w:t xml:space="preserve"> a basal bag-shaped anchor that was permanently buried in</w:t>
      </w:r>
      <w:r>
        <w:rPr>
          <w:rFonts w:cs="Swiss721BT-Light"/>
          <w:color w:val="221F20"/>
          <w:sz w:val="20"/>
          <w:szCs w:val="20"/>
        </w:rPr>
        <w:t xml:space="preserve"> the sediment, with the more distal </w:t>
      </w:r>
      <w:proofErr w:type="gramStart"/>
      <w:r>
        <w:rPr>
          <w:rFonts w:cs="Swiss721BT-Light"/>
          <w:color w:val="221F20"/>
          <w:sz w:val="20"/>
          <w:szCs w:val="20"/>
        </w:rPr>
        <w:t>part  extending</w:t>
      </w:r>
      <w:proofErr w:type="gramEnd"/>
      <w:r w:rsidRPr="00B073C8">
        <w:rPr>
          <w:rFonts w:cs="Swiss721BT-Light"/>
          <w:color w:val="221F20"/>
          <w:sz w:val="20"/>
          <w:szCs w:val="20"/>
        </w:rPr>
        <w:t xml:space="preserve"> upward</w:t>
      </w:r>
      <w:r>
        <w:rPr>
          <w:rFonts w:cs="Swiss721BT-Light"/>
          <w:color w:val="221F20"/>
          <w:sz w:val="20"/>
          <w:szCs w:val="20"/>
        </w:rPr>
        <w:t>s</w:t>
      </w:r>
      <w:r w:rsidRPr="00B073C8">
        <w:rPr>
          <w:rFonts w:cs="Swiss721BT-Light"/>
          <w:color w:val="221F20"/>
          <w:sz w:val="20"/>
          <w:szCs w:val="20"/>
        </w:rPr>
        <w:t xml:space="preserve"> into the water </w:t>
      </w:r>
      <w:r>
        <w:rPr>
          <w:rFonts w:cs="Swiss721BT-Light"/>
          <w:color w:val="221F20"/>
          <w:sz w:val="20"/>
          <w:szCs w:val="20"/>
        </w:rPr>
        <w:t>column and consisting</w:t>
      </w:r>
      <w:r w:rsidRPr="00B073C8">
        <w:rPr>
          <w:rFonts w:cs="Swiss721BT-Light"/>
          <w:color w:val="221F20"/>
          <w:sz w:val="20"/>
          <w:szCs w:val="20"/>
        </w:rPr>
        <w:t xml:space="preserve"> two facing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frondose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structures at its distal opening</w:t>
      </w:r>
      <w:r w:rsidRPr="00B073C8">
        <w:rPr>
          <w:rFonts w:cs="Swiss721BT-Light"/>
          <w:color w:val="014D9D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(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Ivantsov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>., 2015). San (Bushman) artists carved images of these strange structures that they observed in the rocks, and they were certainly not far off the now documented complete morphology!</w:t>
      </w:r>
    </w:p>
    <w:p w14:paraId="0E3837FE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1DC8CE56" w14:textId="77777777" w:rsidR="00273577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Swartpuntia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Narbonne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>
        <w:rPr>
          <w:rFonts w:cs="Swiss721BT-Light"/>
          <w:color w:val="221F20"/>
          <w:sz w:val="20"/>
          <w:szCs w:val="20"/>
        </w:rPr>
        <w:t>. (1997) was</w:t>
      </w:r>
      <w:r w:rsidRPr="00B073C8">
        <w:rPr>
          <w:rFonts w:cs="Swiss721BT-Light"/>
          <w:color w:val="221F20"/>
          <w:sz w:val="20"/>
          <w:szCs w:val="20"/>
        </w:rPr>
        <w:t xml:space="preserve"> a multifoliate,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frondose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erniettomorph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t</w:t>
      </w:r>
      <w:r>
        <w:rPr>
          <w:rFonts w:cs="Swiss721BT-Light"/>
          <w:color w:val="221F20"/>
          <w:sz w:val="20"/>
          <w:szCs w:val="20"/>
        </w:rPr>
        <w:t xml:space="preserve">hat reached over a decimeter in </w:t>
      </w:r>
      <w:r w:rsidRPr="00B073C8">
        <w:rPr>
          <w:rFonts w:cs="Swiss721BT-Light"/>
          <w:color w:val="221F20"/>
          <w:sz w:val="20"/>
          <w:szCs w:val="20"/>
        </w:rPr>
        <w:t xml:space="preserve">height. It is abundant at the top of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Swartpunt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where geochr</w:t>
      </w:r>
      <w:r>
        <w:rPr>
          <w:rFonts w:cs="Swiss721BT-Light"/>
          <w:color w:val="221F20"/>
          <w:sz w:val="20"/>
          <w:szCs w:val="20"/>
        </w:rPr>
        <w:t xml:space="preserve">onological and geochemical data </w:t>
      </w:r>
      <w:r w:rsidRPr="00B073C8">
        <w:rPr>
          <w:rFonts w:cs="Swiss721BT-Light"/>
          <w:color w:val="221F20"/>
          <w:sz w:val="20"/>
          <w:szCs w:val="20"/>
        </w:rPr>
        <w:t xml:space="preserve">imply it lived during the last one million years of the Ediacaran Period, alongside such forms as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Pteridinium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.  Other, rarer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Ediacara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-type impressions from Namibia include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Protechiurus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proofErr w:type="spellStart"/>
      <w:r>
        <w:rPr>
          <w:rFonts w:cs="Swiss721BT-Light"/>
          <w:color w:val="221F20"/>
          <w:sz w:val="20"/>
          <w:szCs w:val="20"/>
        </w:rPr>
        <w:t>Glaessner</w:t>
      </w:r>
      <w:proofErr w:type="spellEnd"/>
      <w:r>
        <w:rPr>
          <w:rFonts w:cs="Swiss721BT-Light"/>
          <w:color w:val="221F20"/>
          <w:sz w:val="20"/>
          <w:szCs w:val="20"/>
        </w:rPr>
        <w:t>, 1979</w:t>
      </w:r>
      <w:r w:rsidRPr="00B073C8">
        <w:rPr>
          <w:rFonts w:cs="Swiss721BT-Light"/>
          <w:color w:val="221F20"/>
          <w:sz w:val="20"/>
          <w:szCs w:val="20"/>
        </w:rPr>
        <w:t xml:space="preserve"> and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Ausia</w:t>
      </w:r>
      <w:proofErr w:type="spellEnd"/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Hahn and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Pflug</w:t>
      </w:r>
      <w:proofErr w:type="spellEnd"/>
      <w:r w:rsidRPr="00B073C8">
        <w:rPr>
          <w:rFonts w:cs="Swiss721BT-Light"/>
          <w:color w:val="221F20"/>
          <w:sz w:val="20"/>
          <w:szCs w:val="20"/>
        </w:rPr>
        <w:t>, 1985, most of these taxa based on one or a few specimens</w:t>
      </w:r>
      <w:r>
        <w:rPr>
          <w:rFonts w:cs="Swiss721BT-Light"/>
          <w:color w:val="221F20"/>
          <w:sz w:val="20"/>
          <w:szCs w:val="20"/>
        </w:rPr>
        <w:t xml:space="preserve">, and consequently of uncertain </w:t>
      </w:r>
      <w:r w:rsidRPr="00B073C8">
        <w:rPr>
          <w:rFonts w:cs="Swiss721BT-Light"/>
          <w:color w:val="221F20"/>
          <w:sz w:val="20"/>
          <w:szCs w:val="20"/>
        </w:rPr>
        <w:t xml:space="preserve">affinities. Carbonaceous tubular compression fossils such as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Vendotaenia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are locally common (Cohen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al.</w:t>
      </w:r>
      <w:r>
        <w:rPr>
          <w:rFonts w:cs="Swiss721BT-Light"/>
          <w:color w:val="221F20"/>
          <w:sz w:val="20"/>
          <w:szCs w:val="20"/>
        </w:rPr>
        <w:t xml:space="preserve">, </w:t>
      </w:r>
      <w:r w:rsidRPr="00B073C8">
        <w:rPr>
          <w:rFonts w:cs="Swiss721BT-Light"/>
          <w:color w:val="221F20"/>
          <w:sz w:val="20"/>
          <w:szCs w:val="20"/>
        </w:rPr>
        <w:t>2009).</w:t>
      </w:r>
    </w:p>
    <w:p w14:paraId="3BA08286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17BC1AE2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>Another common taxon comprises cm-scale, circular discs that invariably occur in profusion, completely covering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bedding planes with adjoining specimens, all of them exactly the same size and presumably the result of a single</w:t>
      </w:r>
      <w:r>
        <w:rPr>
          <w:rFonts w:cs="Swiss721BT-Light"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spatfall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. These fossils were originally named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Hagenetta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aarensis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Hahn and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Pflug</w:t>
      </w:r>
      <w:proofErr w:type="spellEnd"/>
      <w:r w:rsidRPr="00B073C8">
        <w:rPr>
          <w:rFonts w:cs="Swiss721BT-Light"/>
          <w:color w:val="221F20"/>
          <w:sz w:val="20"/>
          <w:szCs w:val="20"/>
        </w:rPr>
        <w:t>, 1988 and were interpreted as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bivalve shells, but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Ivantsov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et al. </w:t>
      </w:r>
      <w:r>
        <w:rPr>
          <w:rFonts w:cs="Swiss721BT-Light"/>
          <w:color w:val="221F20"/>
          <w:sz w:val="20"/>
          <w:szCs w:val="20"/>
        </w:rPr>
        <w:t xml:space="preserve">(2015) </w:t>
      </w:r>
      <w:proofErr w:type="spellStart"/>
      <w:r>
        <w:rPr>
          <w:rFonts w:cs="Swiss721BT-Light"/>
          <w:color w:val="221F20"/>
          <w:sz w:val="20"/>
          <w:szCs w:val="20"/>
        </w:rPr>
        <w:t>sugested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that the name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Beltanelliformis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has priority over the other common names (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e.g.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Nemiana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) that have previously been used for this taxon. 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Beltanelliformis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(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Nemiana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) is abundant in shallow-water Ediacaran assemblages worldwide, and is most commonly interpreted as a spherical ‘polyp’ of unknown affinities (Narbonne and Hofmann, 1987) or as a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Nostoc</w:t>
      </w:r>
      <w:proofErr w:type="spellEnd"/>
      <w:r w:rsidRPr="00B073C8">
        <w:rPr>
          <w:rFonts w:cs="Swiss721BT-Light"/>
          <w:color w:val="221F20"/>
          <w:sz w:val="20"/>
          <w:szCs w:val="20"/>
        </w:rPr>
        <w:t>-like ball of bacteria (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Ivantsov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>., 2015).</w:t>
      </w:r>
    </w:p>
    <w:p w14:paraId="26601F87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50A64633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 xml:space="preserve">A major contribution of </w:t>
      </w:r>
      <w:r>
        <w:rPr>
          <w:rFonts w:cs="Swiss721BT-Light"/>
          <w:color w:val="221F20"/>
          <w:sz w:val="20"/>
          <w:szCs w:val="20"/>
        </w:rPr>
        <w:t xml:space="preserve">the </w:t>
      </w:r>
      <w:r w:rsidRPr="00B073C8">
        <w:rPr>
          <w:rFonts w:cs="Swiss721BT-Light"/>
          <w:color w:val="221F20"/>
          <w:sz w:val="20"/>
          <w:szCs w:val="20"/>
        </w:rPr>
        <w:t>Namibia</w:t>
      </w:r>
      <w:r>
        <w:rPr>
          <w:rFonts w:cs="Swiss721BT-Light"/>
          <w:color w:val="221F20"/>
          <w:sz w:val="20"/>
          <w:szCs w:val="20"/>
        </w:rPr>
        <w:t xml:space="preserve">n late Neoproterozoic record to </w:t>
      </w:r>
      <w:r w:rsidRPr="00B073C8">
        <w:rPr>
          <w:rFonts w:cs="Swiss721BT-Light"/>
          <w:color w:val="221F20"/>
          <w:sz w:val="20"/>
          <w:szCs w:val="20"/>
        </w:rPr>
        <w:t xml:space="preserve">understanding of Ediacaran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palaeobiology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is the abundant occurrence of the world’s first skeletal fossils in carbonate formations throughout the Nam</w:t>
      </w:r>
      <w:r>
        <w:rPr>
          <w:rFonts w:cs="Swiss721BT-Light"/>
          <w:color w:val="221F20"/>
          <w:sz w:val="20"/>
          <w:szCs w:val="20"/>
        </w:rPr>
        <w:t xml:space="preserve">a Group, including appearing in </w:t>
      </w:r>
      <w:r w:rsidRPr="00B073C8">
        <w:rPr>
          <w:rFonts w:cs="Swiss721BT-Light"/>
          <w:color w:val="221F20"/>
          <w:sz w:val="20"/>
          <w:szCs w:val="20"/>
        </w:rPr>
        <w:t xml:space="preserve">constructional roles in the world’s first skeletal-microbial reefs (Germs, 1972; Grant, 1990;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Grotzinger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., 2000, 2005; Wood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., 2002; Wood, 2015; Penny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., 2014;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Zhuravlev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., 2015).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Cloudina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Germs, 1972, the first pre-Cambrian shelly fossil named anywhere in the world, occurs as mm-scale diameter calcified tubes with a distinctive pattern of stacked, funnel-shaped transverse partitions inside the tube.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Cloudina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is generally regarded as a skeletal metazoan of uncertain affinities, and is known from late Ediacaran carbonates worldwide.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Namacalathus</w:t>
      </w:r>
      <w:proofErr w:type="spellEnd"/>
      <w:r w:rsidRPr="00B073C8">
        <w:rPr>
          <w:rFonts w:cs="Swiss721BT-LightItalic"/>
          <w:i/>
          <w:iCs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(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Grotzinger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 xml:space="preserve">., 2000) is another calcified reef-dweller, which, like </w:t>
      </w:r>
      <w:proofErr w:type="spellStart"/>
      <w:r w:rsidRPr="00B073C8">
        <w:rPr>
          <w:rFonts w:cs="Swiss721BT-LightItalic"/>
          <w:i/>
          <w:iCs/>
          <w:color w:val="221F20"/>
          <w:sz w:val="20"/>
          <w:szCs w:val="20"/>
        </w:rPr>
        <w:t>Cloudina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, occurs as skeletal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packstones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between microbial elements in the reefs. It occurs as a cm-scale cup atop a short stem, with a hole in the top of the cup and several holes along its sides. It represents a calcified metazoan that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Zhuravlev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Italic"/>
          <w:i/>
          <w:iCs/>
          <w:color w:val="221F20"/>
          <w:sz w:val="20"/>
          <w:szCs w:val="20"/>
        </w:rPr>
        <w:t>et al</w:t>
      </w:r>
      <w:r w:rsidRPr="00B073C8">
        <w:rPr>
          <w:rFonts w:cs="Swiss721BT-Light"/>
          <w:color w:val="221F20"/>
          <w:sz w:val="20"/>
          <w:szCs w:val="20"/>
        </w:rPr>
        <w:t>. (2015) regarded as a stem-group lophophorate.</w:t>
      </w:r>
    </w:p>
    <w:p w14:paraId="15DFE94C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4A05C91F" w14:textId="77777777" w:rsidR="00273577" w:rsidRPr="00B073C8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5B019329" w14:textId="77777777" w:rsidR="00273577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  <w:r w:rsidRPr="00B073C8">
        <w:rPr>
          <w:rFonts w:cs="Swiss721BT-Light"/>
          <w:color w:val="221F20"/>
          <w:sz w:val="20"/>
          <w:szCs w:val="20"/>
        </w:rPr>
        <w:t xml:space="preserve">An intriguing question posed by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palaeontologists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is what happened to the last of these first complex and large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>organisms that developed on Earth? Recent discoveries and ongoing work continue to inform about the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environmental conditions faced by the last of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Ediacarans</w:t>
      </w:r>
      <w:proofErr w:type="spellEnd"/>
      <w:r w:rsidRPr="00B073C8">
        <w:rPr>
          <w:rFonts w:cs="Swiss721BT-Light"/>
          <w:color w:val="221F20"/>
          <w:sz w:val="20"/>
          <w:szCs w:val="20"/>
        </w:rPr>
        <w:t xml:space="preserve"> around 538 million years ago. In future, such</w:t>
      </w:r>
      <w:r>
        <w:rPr>
          <w:rFonts w:cs="Swiss721BT-Light"/>
          <w:color w:val="221F20"/>
          <w:sz w:val="20"/>
          <w:szCs w:val="20"/>
        </w:rPr>
        <w:t xml:space="preserve"> </w:t>
      </w:r>
      <w:r w:rsidRPr="00B073C8">
        <w:rPr>
          <w:rFonts w:cs="Swiss721BT-Light"/>
          <w:color w:val="221F20"/>
          <w:sz w:val="20"/>
          <w:szCs w:val="20"/>
        </w:rPr>
        <w:t xml:space="preserve">knowledge will assist hopefully in our understanding of what happened to the </w:t>
      </w:r>
      <w:proofErr w:type="spellStart"/>
      <w:r w:rsidRPr="00B073C8">
        <w:rPr>
          <w:rFonts w:cs="Swiss721BT-Light"/>
          <w:color w:val="221F20"/>
          <w:sz w:val="20"/>
          <w:szCs w:val="20"/>
        </w:rPr>
        <w:t>Edi</w:t>
      </w:r>
      <w:r>
        <w:rPr>
          <w:rFonts w:cs="Swiss721BT-Light"/>
          <w:color w:val="221F20"/>
          <w:sz w:val="20"/>
          <w:szCs w:val="20"/>
        </w:rPr>
        <w:t>acarans</w:t>
      </w:r>
      <w:proofErr w:type="spellEnd"/>
      <w:r>
        <w:rPr>
          <w:rFonts w:cs="Swiss721BT-Light"/>
          <w:color w:val="221F20"/>
          <w:sz w:val="20"/>
          <w:szCs w:val="20"/>
        </w:rPr>
        <w:t xml:space="preserve"> and the dynamics of the </w:t>
      </w:r>
      <w:r w:rsidRPr="00B073C8">
        <w:rPr>
          <w:rFonts w:cs="Swiss721BT-Light"/>
          <w:color w:val="221F20"/>
          <w:sz w:val="20"/>
          <w:szCs w:val="20"/>
        </w:rPr>
        <w:t>dramatic biotic change at the beginning of the Cambrian</w:t>
      </w:r>
      <w:proofErr w:type="gramStart"/>
      <w:r w:rsidRPr="00B073C8">
        <w:rPr>
          <w:rFonts w:cs="Swiss721BT-Light"/>
          <w:color w:val="221F20"/>
          <w:sz w:val="20"/>
          <w:szCs w:val="20"/>
        </w:rPr>
        <w:t>.....</w:t>
      </w:r>
      <w:proofErr w:type="gramEnd"/>
      <w:r w:rsidRPr="00B073C8">
        <w:rPr>
          <w:rFonts w:cs="Swiss721BT-Light"/>
          <w:color w:val="221F20"/>
          <w:sz w:val="20"/>
          <w:szCs w:val="20"/>
        </w:rPr>
        <w:t xml:space="preserve"> and perhaps give some guidance on planning the future of humanity!</w:t>
      </w:r>
    </w:p>
    <w:p w14:paraId="6677711F" w14:textId="77777777" w:rsidR="00273577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0F3B9B51" w14:textId="77777777" w:rsidR="00273577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7CC218DC" w14:textId="77777777" w:rsidR="00273577" w:rsidRDefault="00273577" w:rsidP="00273577">
      <w:pPr>
        <w:autoSpaceDE w:val="0"/>
        <w:autoSpaceDN w:val="0"/>
        <w:adjustRightInd w:val="0"/>
        <w:jc w:val="both"/>
        <w:rPr>
          <w:rFonts w:cs="Swiss721BT-Light"/>
          <w:color w:val="221F20"/>
          <w:sz w:val="20"/>
          <w:szCs w:val="20"/>
        </w:rPr>
      </w:pPr>
    </w:p>
    <w:p w14:paraId="7FE119BE" w14:textId="79A593B1" w:rsidR="00885BC8" w:rsidRDefault="00885BC8" w:rsidP="00786DCD">
      <w:pPr>
        <w:pStyle w:val="Heading1"/>
        <w:spacing w:before="170" w:line="288" w:lineRule="exact"/>
        <w:ind w:right="142"/>
        <w:rPr>
          <w:b w:val="0"/>
          <w:bCs w:val="0"/>
          <w:color w:val="231F20"/>
          <w:spacing w:val="-1"/>
        </w:rPr>
      </w:pPr>
    </w:p>
    <w:p w14:paraId="601FEF4D" w14:textId="442C3C82" w:rsidR="00885BC8" w:rsidRDefault="00885BC8" w:rsidP="00786DCD">
      <w:pPr>
        <w:pStyle w:val="Heading1"/>
        <w:spacing w:before="170" w:line="288" w:lineRule="exact"/>
        <w:ind w:right="142"/>
        <w:rPr>
          <w:b w:val="0"/>
          <w:bCs w:val="0"/>
          <w:color w:val="231F20"/>
          <w:spacing w:val="-1"/>
        </w:rPr>
      </w:pPr>
    </w:p>
    <w:p w14:paraId="2BFB0514" w14:textId="77777777" w:rsidR="00786DCD" w:rsidRDefault="00885BC8" w:rsidP="00786DCD">
      <w:pPr>
        <w:pStyle w:val="Heading1"/>
        <w:spacing w:before="170" w:line="288" w:lineRule="exact"/>
        <w:ind w:right="142"/>
        <w:rPr>
          <w:b w:val="0"/>
          <w:bCs w:val="0"/>
          <w:color w:val="231F20"/>
          <w:spacing w:val="-1"/>
          <w:sz w:val="20"/>
          <w:szCs w:val="20"/>
        </w:rPr>
      </w:pPr>
      <w:r>
        <w:rPr>
          <w:b w:val="0"/>
          <w:bCs w:val="0"/>
          <w:color w:val="231F20"/>
          <w:spacing w:val="-1"/>
          <w:sz w:val="20"/>
          <w:szCs w:val="20"/>
        </w:rPr>
        <w:t xml:space="preserve">Figure 1. </w:t>
      </w:r>
      <w:r w:rsidRPr="00885BC8">
        <w:rPr>
          <w:b w:val="0"/>
          <w:bCs w:val="0"/>
          <w:color w:val="231F20"/>
          <w:spacing w:val="-1"/>
          <w:sz w:val="20"/>
          <w:szCs w:val="20"/>
        </w:rPr>
        <w:t>Figure captions in size 10 font</w:t>
      </w:r>
    </w:p>
    <w:p w14:paraId="0515315D" w14:textId="77777777" w:rsidR="00786DCD" w:rsidRDefault="00786DCD" w:rsidP="00786DCD">
      <w:pPr>
        <w:pStyle w:val="Heading1"/>
        <w:spacing w:before="170" w:line="288" w:lineRule="exact"/>
        <w:ind w:right="142"/>
        <w:rPr>
          <w:rFonts w:cs="Calibri"/>
          <w:b w:val="0"/>
          <w:bCs w:val="0"/>
          <w:sz w:val="22"/>
          <w:szCs w:val="22"/>
        </w:rPr>
      </w:pPr>
    </w:p>
    <w:p w14:paraId="178A85C0" w14:textId="77777777" w:rsidR="00786DCD" w:rsidRDefault="00786DCD" w:rsidP="00786DCD">
      <w:pPr>
        <w:pStyle w:val="Heading1"/>
        <w:spacing w:before="170" w:line="288" w:lineRule="exact"/>
        <w:ind w:right="142"/>
        <w:rPr>
          <w:rFonts w:cs="Calibri"/>
          <w:b w:val="0"/>
          <w:bCs w:val="0"/>
          <w:sz w:val="22"/>
          <w:szCs w:val="22"/>
        </w:rPr>
      </w:pPr>
    </w:p>
    <w:p w14:paraId="57C25C8A" w14:textId="1913615A" w:rsidR="00786DCD" w:rsidRPr="00786DCD" w:rsidRDefault="00786DCD" w:rsidP="00786DCD">
      <w:pPr>
        <w:pStyle w:val="Heading1"/>
        <w:spacing w:before="170" w:line="288" w:lineRule="exact"/>
        <w:ind w:right="142"/>
        <w:rPr>
          <w:rFonts w:cs="Calibri"/>
          <w:b w:val="0"/>
          <w:bCs w:val="0"/>
          <w:sz w:val="22"/>
          <w:szCs w:val="22"/>
        </w:rPr>
      </w:pPr>
      <w:r w:rsidRPr="00786DCD">
        <w:rPr>
          <w:rFonts w:cs="Calibri"/>
          <w:b w:val="0"/>
          <w:bCs w:val="0"/>
          <w:sz w:val="22"/>
          <w:szCs w:val="22"/>
        </w:rPr>
        <w:t>References</w:t>
      </w:r>
    </w:p>
    <w:p w14:paraId="2E6C32AE" w14:textId="77777777" w:rsidR="00786DCD" w:rsidRPr="00786DCD" w:rsidRDefault="00786DCD" w:rsidP="00786DCD">
      <w:pPr>
        <w:pStyle w:val="Heading1"/>
        <w:spacing w:before="170" w:line="288" w:lineRule="exact"/>
        <w:ind w:right="142"/>
        <w:rPr>
          <w:rStyle w:val="A3"/>
          <w:b w:val="0"/>
          <w:bCs w:val="0"/>
        </w:rPr>
      </w:pPr>
      <w:r w:rsidRPr="00786DCD">
        <w:rPr>
          <w:rStyle w:val="A3"/>
          <w:b w:val="0"/>
          <w:bCs w:val="0"/>
        </w:rPr>
        <w:t>Gibson, G. M., Champion, D. C., and Ireland, T. R., 2015, Preservation of a fragmented late Neo</w:t>
      </w:r>
      <w:r w:rsidRPr="00786DCD">
        <w:rPr>
          <w:rStyle w:val="A3"/>
          <w:b w:val="0"/>
          <w:bCs w:val="0"/>
        </w:rPr>
        <w:softHyphen/>
        <w:t xml:space="preserve">proterozoic–earliest Cambrian hyper-extended continental-margin sequence in the Australian </w:t>
      </w:r>
      <w:proofErr w:type="spellStart"/>
      <w:r w:rsidRPr="00786DCD">
        <w:rPr>
          <w:rStyle w:val="A3"/>
          <w:b w:val="0"/>
          <w:bCs w:val="0"/>
        </w:rPr>
        <w:t>Delamerian</w:t>
      </w:r>
      <w:proofErr w:type="spellEnd"/>
      <w:r w:rsidRPr="00786DCD">
        <w:rPr>
          <w:rStyle w:val="A3"/>
          <w:b w:val="0"/>
          <w:bCs w:val="0"/>
        </w:rPr>
        <w:t xml:space="preserve"> Orogen: Geological Society, London, Special Publications, v. 413, no. 1, p. 269-299.</w:t>
      </w:r>
    </w:p>
    <w:p w14:paraId="4AF8A583" w14:textId="77777777" w:rsidR="00786DCD" w:rsidRPr="00786DCD" w:rsidRDefault="00786DCD" w:rsidP="00786DCD">
      <w:pPr>
        <w:pStyle w:val="Heading1"/>
        <w:spacing w:before="170" w:line="288" w:lineRule="exact"/>
        <w:ind w:right="142"/>
        <w:rPr>
          <w:rStyle w:val="A3"/>
          <w:b w:val="0"/>
          <w:bCs w:val="0"/>
        </w:rPr>
      </w:pPr>
      <w:r w:rsidRPr="00786DCD">
        <w:rPr>
          <w:rStyle w:val="A3"/>
          <w:b w:val="0"/>
          <w:bCs w:val="0"/>
        </w:rPr>
        <w:t xml:space="preserve">Glen, R. A., 2005, The </w:t>
      </w:r>
      <w:proofErr w:type="spellStart"/>
      <w:r w:rsidRPr="00786DCD">
        <w:rPr>
          <w:rStyle w:val="A3"/>
          <w:b w:val="0"/>
          <w:bCs w:val="0"/>
        </w:rPr>
        <w:t>Tasmanides</w:t>
      </w:r>
      <w:proofErr w:type="spellEnd"/>
      <w:r w:rsidRPr="00786DCD">
        <w:rPr>
          <w:rStyle w:val="A3"/>
          <w:b w:val="0"/>
          <w:bCs w:val="0"/>
        </w:rPr>
        <w:t xml:space="preserve"> of eastern Australia: Geological Society, London, Special Publications, v. 246, no. 1, p. 23-96.</w:t>
      </w:r>
    </w:p>
    <w:p w14:paraId="5CEEEA9F" w14:textId="77777777" w:rsidR="00786DCD" w:rsidRPr="00786DCD" w:rsidRDefault="00786DCD" w:rsidP="00786DCD">
      <w:pPr>
        <w:pStyle w:val="Heading1"/>
        <w:spacing w:before="170" w:line="288" w:lineRule="exact"/>
        <w:ind w:right="142"/>
        <w:rPr>
          <w:rStyle w:val="A3"/>
          <w:b w:val="0"/>
          <w:bCs w:val="0"/>
        </w:rPr>
      </w:pPr>
      <w:r w:rsidRPr="00786DCD">
        <w:rPr>
          <w:rStyle w:val="A3"/>
          <w:b w:val="0"/>
          <w:bCs w:val="0"/>
        </w:rPr>
        <w:t xml:space="preserve">Ireland, T. R., </w:t>
      </w:r>
      <w:proofErr w:type="spellStart"/>
      <w:r w:rsidRPr="00786DCD">
        <w:rPr>
          <w:rStyle w:val="A3"/>
          <w:b w:val="0"/>
          <w:bCs w:val="0"/>
        </w:rPr>
        <w:t>Flöttmann</w:t>
      </w:r>
      <w:proofErr w:type="spellEnd"/>
      <w:r w:rsidRPr="00786DCD">
        <w:rPr>
          <w:rStyle w:val="A3"/>
          <w:b w:val="0"/>
          <w:bCs w:val="0"/>
        </w:rPr>
        <w:t>, T., Fanning, C. M., Gib</w:t>
      </w:r>
      <w:r w:rsidRPr="00786DCD">
        <w:rPr>
          <w:rStyle w:val="A3"/>
          <w:b w:val="0"/>
          <w:bCs w:val="0"/>
        </w:rPr>
        <w:softHyphen/>
        <w:t>son, G. M., and Preiss, W. V., 1998, Development of the early Paleozoic Pacific margin of Gondwa</w:t>
      </w:r>
      <w:r w:rsidRPr="00786DCD">
        <w:rPr>
          <w:rStyle w:val="A3"/>
          <w:b w:val="0"/>
          <w:bCs w:val="0"/>
        </w:rPr>
        <w:softHyphen/>
        <w:t xml:space="preserve">na from detrital-zircon ages across the </w:t>
      </w:r>
      <w:proofErr w:type="spellStart"/>
      <w:r w:rsidRPr="00786DCD">
        <w:rPr>
          <w:rStyle w:val="A3"/>
          <w:b w:val="0"/>
          <w:bCs w:val="0"/>
        </w:rPr>
        <w:t>Delameri</w:t>
      </w:r>
      <w:r w:rsidRPr="00786DCD">
        <w:rPr>
          <w:rStyle w:val="A3"/>
          <w:b w:val="0"/>
          <w:bCs w:val="0"/>
        </w:rPr>
        <w:softHyphen/>
        <w:t>an</w:t>
      </w:r>
      <w:proofErr w:type="spellEnd"/>
      <w:r w:rsidRPr="00786DCD">
        <w:rPr>
          <w:rStyle w:val="A3"/>
          <w:b w:val="0"/>
          <w:bCs w:val="0"/>
        </w:rPr>
        <w:t xml:space="preserve"> Orogen: Geology, v. 26, no. 3, p. 243-246,</w:t>
      </w:r>
    </w:p>
    <w:p w14:paraId="7B7C9EA7" w14:textId="3296C421" w:rsidR="00885BC8" w:rsidRPr="00786DCD" w:rsidRDefault="00786DCD" w:rsidP="00786DCD">
      <w:pPr>
        <w:pStyle w:val="Heading1"/>
        <w:spacing w:before="170" w:line="288" w:lineRule="exact"/>
        <w:ind w:right="142"/>
        <w:rPr>
          <w:b w:val="0"/>
          <w:bCs w:val="0"/>
          <w:color w:val="231F20"/>
          <w:spacing w:val="-1"/>
          <w:sz w:val="20"/>
          <w:szCs w:val="20"/>
        </w:rPr>
      </w:pPr>
      <w:r w:rsidRPr="00786DCD">
        <w:rPr>
          <w:rStyle w:val="A3"/>
          <w:b w:val="0"/>
          <w:bCs w:val="0"/>
        </w:rPr>
        <w:t>Preiss, W. V., 2000, The Adelaide Geosyncline of South Australia and its</w:t>
      </w:r>
      <w:r>
        <w:rPr>
          <w:rStyle w:val="A3"/>
        </w:rPr>
        <w:t xml:space="preserve"> </w:t>
      </w:r>
      <w:r w:rsidRPr="00786DCD">
        <w:rPr>
          <w:rStyle w:val="A3"/>
          <w:b w:val="0"/>
          <w:bCs w:val="0"/>
        </w:rPr>
        <w:t>significance in Neoprote</w:t>
      </w:r>
      <w:r w:rsidRPr="00786DCD">
        <w:rPr>
          <w:rStyle w:val="A3"/>
          <w:b w:val="0"/>
          <w:bCs w:val="0"/>
        </w:rPr>
        <w:softHyphen/>
        <w:t>rozoic continental reconstruction: Precambrian Research, v. 100, no. 1-3, p. 21-63.</w:t>
      </w:r>
    </w:p>
    <w:sectPr w:rsidR="00885BC8" w:rsidRPr="00786DCD" w:rsidSect="00885BC8">
      <w:type w:val="continuous"/>
      <w:pgSz w:w="11910" w:h="16840"/>
      <w:pgMar w:top="620" w:right="1320" w:bottom="0" w:left="13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7658" w14:textId="77777777" w:rsidR="009C6B7C" w:rsidRDefault="009C6B7C" w:rsidP="00885BC8">
      <w:r>
        <w:separator/>
      </w:r>
    </w:p>
  </w:endnote>
  <w:endnote w:type="continuationSeparator" w:id="0">
    <w:p w14:paraId="72485E82" w14:textId="77777777" w:rsidR="009C6B7C" w:rsidRDefault="009C6B7C" w:rsidP="0088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721BT-Ligh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wiss721BT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921968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B5B4B2" w14:textId="075F1D0C" w:rsidR="00885BC8" w:rsidRDefault="00885BC8" w:rsidP="008165C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310C67" w14:textId="77777777" w:rsidR="00885BC8" w:rsidRDefault="00885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57126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B0E1CB" w14:textId="254F8D44" w:rsidR="00885BC8" w:rsidRDefault="00885BC8" w:rsidP="008165C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3B6C27" w14:textId="77777777" w:rsidR="00885BC8" w:rsidRDefault="00885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144DE" w14:textId="77777777" w:rsidR="009C6B7C" w:rsidRDefault="009C6B7C" w:rsidP="00885BC8">
      <w:r>
        <w:separator/>
      </w:r>
    </w:p>
  </w:footnote>
  <w:footnote w:type="continuationSeparator" w:id="0">
    <w:p w14:paraId="1B5308DC" w14:textId="77777777" w:rsidR="009C6B7C" w:rsidRDefault="009C6B7C" w:rsidP="00885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5A"/>
    <w:rsid w:val="00273577"/>
    <w:rsid w:val="00442B46"/>
    <w:rsid w:val="005A6C1F"/>
    <w:rsid w:val="00786DCD"/>
    <w:rsid w:val="00851D5A"/>
    <w:rsid w:val="00885BC8"/>
    <w:rsid w:val="009C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E094"/>
  <w15:docId w15:val="{B43CDEB5-4699-1449-846A-14ECBBE5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117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885B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85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C8"/>
  </w:style>
  <w:style w:type="character" w:styleId="PageNumber">
    <w:name w:val="page number"/>
    <w:basedOn w:val="DefaultParagraphFont"/>
    <w:uiPriority w:val="99"/>
    <w:semiHidden/>
    <w:unhideWhenUsed/>
    <w:rsid w:val="00885BC8"/>
  </w:style>
  <w:style w:type="paragraph" w:customStyle="1" w:styleId="Default">
    <w:name w:val="Default"/>
    <w:rsid w:val="00786DC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2">
    <w:name w:val="Pa2"/>
    <w:basedOn w:val="Default"/>
    <w:next w:val="Default"/>
    <w:uiPriority w:val="99"/>
    <w:rsid w:val="00786DCD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786DCD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Rich</cp:lastModifiedBy>
  <cp:revision>4</cp:revision>
  <cp:lastPrinted>2019-07-31T01:43:00Z</cp:lastPrinted>
  <dcterms:created xsi:type="dcterms:W3CDTF">2019-07-31T01:46:00Z</dcterms:created>
  <dcterms:modified xsi:type="dcterms:W3CDTF">2019-08-29T05:20:00Z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LastSaved">
    <vt:filetime>2019-07-31T00:00:00Z</vt:filetime>
  </property>
</Properties>
</file>