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cs="Arial" w:hAnsi="Arial"/>
          <w:sz w:val="22"/>
          <w:szCs w:val="22"/>
          <w:lang w:val="en-AU"/>
        </w:rPr>
      </w:pPr>
    </w:p>
    <w:p>
      <w:pPr>
        <w:pStyle w:val="style0"/>
        <w:rPr>
          <w:rFonts w:ascii="Arial" w:cs="Arial" w:hAnsi="Arial"/>
          <w:sz w:val="22"/>
          <w:szCs w:val="22"/>
          <w:lang w:val="en-AU"/>
        </w:rPr>
      </w:pPr>
    </w:p>
    <w:p>
      <w:pPr>
        <w:pStyle w:val="style0"/>
        <w:jc w:val="left"/>
        <w:rPr>
          <w:rFonts w:ascii="Arial" w:cs="Arial" w:hAnsi="Arial"/>
          <w:b/>
          <w:sz w:val="28"/>
          <w:szCs w:val="28"/>
          <w:lang w:val="en-AU"/>
        </w:rPr>
      </w:pPr>
      <w:r>
        <w:rPr>
          <w:rFonts w:ascii="Arial" w:cs="Arial" w:hAnsi="Arial"/>
          <w:b/>
          <w:iCs/>
          <w:sz w:val="28"/>
          <w:szCs w:val="28"/>
          <w:lang w:val="en-US"/>
        </w:rPr>
        <w:t>Thiết kế hoạt kịch (Conceptual PlayWorld) trong Khoa học, Công nghệ, Kỹ thuật, Toán học (STEM)</w:t>
      </w:r>
      <w:r>
        <w:rPr>
          <w:rFonts w:ascii="Arial" w:cs="Arial" w:hAnsi="Arial"/>
          <w:b/>
          <w:i/>
          <w:iCs/>
          <w:sz w:val="28"/>
          <w:szCs w:val="28"/>
          <w:lang w:val="en-AU"/>
        </w:rPr>
        <w:t xml:space="preserve"> </w:t>
      </w:r>
      <w:r>
        <w:rPr>
          <w:rFonts w:ascii="Arial" w:cs="Arial" w:hAnsi="Arial"/>
          <w:b/>
          <w:sz w:val="28"/>
          <w:szCs w:val="28"/>
          <w:lang w:val="en-AU"/>
        </w:rPr>
        <w:t>(Fleer, 20</w:t>
      </w:r>
      <w:r>
        <w:rPr>
          <w:rFonts w:ascii="Arial" w:cs="Arial" w:hAnsi="Arial"/>
          <w:b/>
          <w:sz w:val="28"/>
          <w:szCs w:val="28"/>
          <w:lang w:val="en-AU"/>
        </w:rPr>
        <w:t>22</w:t>
      </w:r>
      <w:r>
        <w:rPr>
          <w:rFonts w:ascii="Arial" w:cs="Arial" w:hAnsi="Arial"/>
          <w:b/>
          <w:sz w:val="28"/>
          <w:szCs w:val="28"/>
          <w:lang w:val="en-AU"/>
        </w:rPr>
        <w:t>)</w:t>
      </w:r>
    </w:p>
    <w:p>
      <w:pPr>
        <w:pStyle w:val="style0"/>
        <w:jc w:val="center"/>
        <w:rPr>
          <w:rFonts w:ascii="Arial" w:cs="Arial" w:hAnsi="Arial"/>
          <w:b/>
          <w:sz w:val="28"/>
          <w:szCs w:val="28"/>
          <w:lang w:val="en-AU"/>
        </w:rPr>
      </w:pPr>
      <w:r>
        <w:rPr>
          <w:rFonts w:ascii="Arial" w:cs="Arial" w:hAnsi="Arial"/>
          <w:b/>
          <w:sz w:val="28"/>
          <w:szCs w:val="28"/>
          <w:lang w:val="en-AU"/>
        </w:rPr>
        <w:t>Monash Playlab</w:t>
      </w:r>
    </w:p>
    <w:p>
      <w:pPr>
        <w:pStyle w:val="style0"/>
        <w:rPr>
          <w:rFonts w:ascii="Arial" w:cs="Arial" w:hAnsi="Arial"/>
          <w:bCs/>
          <w:i/>
          <w:iCs/>
          <w:sz w:val="22"/>
          <w:szCs w:val="22"/>
          <w:lang w:val="en-AU"/>
        </w:rPr>
      </w:pPr>
    </w:p>
    <w:p>
      <w:pPr>
        <w:pStyle w:val="style0"/>
        <w:rPr>
          <w:rFonts w:ascii="Arial" w:cs="Arial" w:hAnsi="Arial"/>
          <w:bCs/>
          <w:i/>
          <w:iCs/>
          <w:sz w:val="22"/>
          <w:szCs w:val="22"/>
          <w:lang w:val="en-AU"/>
        </w:rPr>
      </w:pPr>
      <w:r>
        <w:rPr>
          <w:rFonts w:ascii="Arial" w:cs="Arial" w:hAnsi="Arial"/>
          <w:bCs/>
          <w:i/>
          <w:iCs/>
          <w:sz w:val="22"/>
          <w:szCs w:val="22"/>
          <w:lang w:val="en-AU"/>
        </w:rPr>
        <w:t>Năm đặc điểm của</w:t>
      </w:r>
      <w:r>
        <w:rPr>
          <w:rFonts w:ascii="Arial" w:cs="Arial" w:hAnsi="Arial"/>
          <w:bCs/>
          <w:i/>
          <w:iCs/>
          <w:sz w:val="22"/>
          <w:szCs w:val="22"/>
          <w:lang w:val="en-US"/>
        </w:rPr>
        <w:t xml:space="preserve"> </w:t>
      </w:r>
      <w:r>
        <w:rPr>
          <w:rFonts w:ascii="Arial" w:cs="Arial" w:hAnsi="Arial"/>
          <w:bCs/>
          <w:i/>
          <w:iCs/>
          <w:sz w:val="22"/>
          <w:szCs w:val="22"/>
          <w:lang w:val="en-AU"/>
        </w:rPr>
        <w:t>một</w:t>
      </w:r>
      <w:r>
        <w:rPr>
          <w:rFonts w:ascii="Arial" w:cs="Arial" w:hAnsi="Arial"/>
          <w:bCs/>
          <w:i/>
          <w:iCs/>
          <w:sz w:val="22"/>
          <w:szCs w:val="22"/>
          <w:lang w:val="en-US"/>
        </w:rPr>
        <w:t xml:space="preserve"> 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GB"/>
        </w:rPr>
        <w:t>hoạt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GB"/>
        </w:rPr>
        <w:t xml:space="preserve"> 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GB"/>
        </w:rPr>
        <w:t>kịch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GB"/>
        </w:rPr>
        <w:t xml:space="preserve"> 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GB"/>
        </w:rPr>
        <w:t>(Conceptual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GB"/>
        </w:rPr>
        <w:t xml:space="preserve"> </w:t>
      </w:r>
      <w:r>
        <w:rPr>
          <w:rFonts w:ascii="Arial" w:cs="Arial" w:eastAsia="SimSu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GB"/>
        </w:rPr>
        <w:t>PlayWorld) trong việc h</w:t>
      </w:r>
      <w:r>
        <w:rPr>
          <w:rFonts w:ascii="Arial" w:cs="Arial" w:hAnsi="Arial"/>
          <w:bCs/>
          <w:i/>
          <w:iCs/>
          <w:sz w:val="22"/>
          <w:szCs w:val="22"/>
          <w:lang w:val="en-AU"/>
        </w:rPr>
        <w:t xml:space="preserve">ỗ trợ </w:t>
      </w:r>
      <w:r>
        <w:rPr>
          <w:rFonts w:ascii="Arial" w:cs="Arial" w:hAnsi="Arial"/>
          <w:bCs/>
          <w:i/>
          <w:iCs/>
          <w:sz w:val="22"/>
          <w:szCs w:val="22"/>
          <w:lang w:val="en-US"/>
        </w:rPr>
        <w:t>hoạt động</w:t>
      </w:r>
      <w:r>
        <w:rPr>
          <w:rFonts w:ascii="Arial" w:cs="Arial" w:hAnsi="Arial"/>
          <w:bCs/>
          <w:i/>
          <w:iCs/>
          <w:sz w:val="22"/>
          <w:szCs w:val="22"/>
          <w:lang w:val="en-AU"/>
        </w:rPr>
        <w:t xml:space="preserve"> tưởng </w:t>
      </w:r>
      <w:r>
        <w:rPr>
          <w:rFonts w:ascii="Arial" w:cs="Arial" w:hAnsi="Arial"/>
          <w:bCs/>
          <w:i/>
          <w:iCs/>
          <w:sz w:val="22"/>
          <w:szCs w:val="22"/>
          <w:lang w:val="en-US"/>
        </w:rPr>
        <w:t xml:space="preserve">tượng và lối </w:t>
      </w:r>
      <w:r>
        <w:rPr>
          <w:rFonts w:ascii="Arial" w:cs="Arial" w:hAnsi="Arial"/>
          <w:bCs/>
          <w:i/>
          <w:iCs/>
          <w:sz w:val="22"/>
          <w:szCs w:val="22"/>
          <w:lang w:val="en-AU"/>
        </w:rPr>
        <w:t>Suy nghĩ</w:t>
      </w:r>
      <w:r>
        <w:rPr>
          <w:rFonts w:ascii="Arial" w:cs="Arial" w:hAnsi="Arial"/>
          <w:bCs/>
          <w:i/>
          <w:iCs/>
          <w:sz w:val="22"/>
          <w:szCs w:val="22"/>
          <w:lang w:val="en-US"/>
        </w:rPr>
        <w:t xml:space="preserve">- </w:t>
      </w:r>
      <w:r>
        <w:rPr>
          <w:rFonts w:ascii="Arial" w:cs="Arial" w:hAnsi="Arial"/>
          <w:bCs/>
          <w:i/>
          <w:iCs/>
          <w:sz w:val="22"/>
          <w:szCs w:val="22"/>
          <w:lang w:val="en-AU"/>
        </w:rPr>
        <w:t xml:space="preserve">Học tập </w:t>
      </w:r>
      <w:r>
        <w:rPr>
          <w:rFonts w:ascii="Arial" w:cs="Arial" w:hAnsi="Arial"/>
          <w:bCs/>
          <w:i/>
          <w:iCs/>
          <w:sz w:val="22"/>
          <w:szCs w:val="22"/>
          <w:lang w:val="en-US"/>
        </w:rPr>
        <w:t xml:space="preserve">theo STEM </w:t>
      </w:r>
      <w:r>
        <w:rPr>
          <w:rFonts w:ascii="Arial" w:cs="Arial" w:hAnsi="Arial"/>
          <w:bCs/>
          <w:i/>
          <w:iCs/>
          <w:sz w:val="22"/>
          <w:szCs w:val="22"/>
          <w:lang w:val="en-AU"/>
        </w:rPr>
        <w:t>(Fleer, 2022)</w:t>
      </w:r>
    </w:p>
    <w:p>
      <w:pPr>
        <w:pStyle w:val="style0"/>
        <w:rPr>
          <w:rFonts w:ascii="Arial" w:cs="Arial" w:hAnsi="Arial"/>
          <w:sz w:val="22"/>
          <w:szCs w:val="22"/>
          <w:lang w:val="en-AU"/>
        </w:rPr>
      </w:pPr>
    </w:p>
    <w:tbl>
      <w:tblPr>
        <w:tblStyle w:val="style154"/>
        <w:tblW w:w="5000" w:type="pct"/>
        <w:tblBorders>
          <w:top w:val="single" w:sz="6" w:space="0" w:color="2e74b5"/>
          <w:left w:val="single" w:sz="6" w:space="0" w:color="2e74b5"/>
          <w:bottom w:val="single" w:sz="6" w:space="0" w:color="2e74b5"/>
          <w:right w:val="single" w:sz="6" w:space="0" w:color="2e74b5"/>
          <w:insideH w:val="single" w:sz="6" w:space="0" w:color="2e74b5"/>
          <w:insideV w:val="single" w:sz="6" w:space="0" w:color="2e74b5"/>
        </w:tblBorders>
        <w:tblLook w:val="04A0" w:firstRow="1" w:lastRow="0" w:firstColumn="1" w:lastColumn="0" w:noHBand="0" w:noVBand="1"/>
      </w:tblPr>
      <w:tblGrid>
        <w:gridCol w:w="2443"/>
        <w:gridCol w:w="3999"/>
        <w:gridCol w:w="3999"/>
      </w:tblGrid>
      <w:tr>
        <w:trPr>
          <w:tblHeader/>
        </w:trPr>
        <w:tc>
          <w:tcPr>
            <w:tcW w:w="1170" w:type="pct"/>
            <w:tcBorders/>
            <w:shd w:val="clear" w:color="auto" w:fill="2e74b5"/>
          </w:tcPr>
          <w:p>
            <w:pPr>
              <w:pStyle w:val="style0"/>
              <w:spacing w:before="80" w:after="80" w:lineRule="exact" w:line="300"/>
              <w:rPr>
                <w:rFonts w:ascii="Arial" w:cs="Arial" w:hAnsi="Arial"/>
                <w:b/>
                <w:color w:val="ffffff"/>
                <w:spacing w:val="20"/>
                <w:lang w:val="en-AU"/>
              </w:rPr>
            </w:pPr>
            <w:r>
              <w:rPr>
                <w:rFonts w:ascii="Arial" w:cs="Arial" w:hAnsi="Arial"/>
                <w:b/>
                <w:color w:val="ffffff"/>
                <w:spacing w:val="20"/>
                <w:lang w:val="en-AU"/>
              </w:rPr>
              <w:t>Đặc điểm sư phạm</w:t>
            </w:r>
          </w:p>
        </w:tc>
        <w:tc>
          <w:tcPr>
            <w:tcW w:w="1915" w:type="pct"/>
            <w:tcBorders/>
            <w:shd w:val="clear" w:color="auto" w:fill="2e74b5"/>
          </w:tcPr>
          <w:p>
            <w:pPr>
              <w:pStyle w:val="style0"/>
              <w:spacing w:before="80" w:after="80" w:lineRule="exact" w:line="300"/>
              <w:rPr>
                <w:rFonts w:ascii="Arial" w:cs="Arial" w:hAnsi="Arial"/>
                <w:b/>
                <w:color w:val="ffffff"/>
                <w:spacing w:val="20"/>
                <w:lang w:val="en-AU"/>
              </w:rPr>
            </w:pPr>
            <w:r>
              <w:rPr>
                <w:rFonts w:ascii="Arial" w:cs="Arial" w:hAnsi="Arial"/>
                <w:b/>
                <w:color w:val="ffffff"/>
                <w:spacing w:val="20"/>
                <w:lang w:val="en-AU"/>
              </w:rPr>
              <w:t xml:space="preserve">Các </w:t>
            </w:r>
            <w:r>
              <w:rPr>
                <w:rFonts w:ascii="Arial" w:cs="Arial" w:hAnsi="Arial"/>
                <w:b/>
                <w:color w:val="ffffff"/>
                <w:spacing w:val="20"/>
                <w:lang w:val="en-US"/>
              </w:rPr>
              <w:t>hoạt động</w:t>
            </w:r>
            <w:r>
              <w:rPr>
                <w:rFonts w:ascii="Arial" w:cs="Arial" w:hAnsi="Arial"/>
                <w:b/>
                <w:color w:val="ffffff"/>
                <w:spacing w:val="20"/>
                <w:lang w:val="en-AU"/>
              </w:rPr>
              <w:t xml:space="preserve"> sư phạm được lên kế hoạch</w:t>
            </w:r>
          </w:p>
        </w:tc>
        <w:tc>
          <w:tcPr>
            <w:tcW w:w="1915" w:type="pct"/>
            <w:tcBorders/>
            <w:shd w:val="clear" w:color="auto" w:fill="2e74b5"/>
          </w:tcPr>
          <w:p>
            <w:pPr>
              <w:pStyle w:val="style0"/>
              <w:spacing w:before="80" w:after="80" w:lineRule="exact" w:line="300"/>
              <w:rPr>
                <w:rFonts w:ascii="Arial" w:cs="Arial" w:hAnsi="Arial"/>
                <w:b/>
                <w:color w:val="ffffff"/>
                <w:spacing w:val="20"/>
                <w:lang w:val="en-AU"/>
              </w:rPr>
            </w:pPr>
            <w:r>
              <w:rPr>
                <w:rFonts w:ascii="Arial" w:cs="Arial" w:hAnsi="Arial"/>
                <w:b/>
                <w:color w:val="ffffff"/>
                <w:spacing w:val="20"/>
                <w:lang w:val="en-US"/>
              </w:rPr>
              <w:t>Hoạt kịch</w:t>
            </w:r>
            <w:r>
              <w:rPr>
                <w:rFonts w:ascii="Arial" w:cs="Arial" w:hAnsi="Arial"/>
                <w:b/>
                <w:color w:val="ffffff"/>
                <w:spacing w:val="20"/>
                <w:lang w:val="en-AU"/>
              </w:rPr>
              <w:t xml:space="preserve"> </w:t>
            </w:r>
            <w:r>
              <w:rPr>
                <w:rFonts w:ascii="Arial" w:cs="Arial" w:hAnsi="Arial"/>
                <w:b/>
                <w:color w:val="ffffff"/>
                <w:spacing w:val="20"/>
                <w:lang w:val="en-US"/>
              </w:rPr>
              <w:t>thực diễn</w:t>
            </w:r>
          </w:p>
        </w:tc>
      </w:tr>
      <w:tr>
        <w:tblPrEx/>
        <w:trPr/>
        <w:tc>
          <w:tcPr>
            <w:tcW w:w="1170" w:type="pct"/>
            <w:tcBorders/>
          </w:tcPr>
          <w:p>
            <w:pPr>
              <w:pStyle w:val="style0"/>
              <w:spacing w:before="80" w:after="80" w:lineRule="exact" w:line="300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Chọn một câu chuyện cho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hoạt kịch (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>Conceptual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 xml:space="preserve"> 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>PlayWorld)</w:t>
            </w:r>
          </w:p>
          <w:p>
            <w:pPr>
              <w:pStyle w:val="style0"/>
              <w:spacing w:before="80" w:after="80" w:lineRule="exact" w:line="300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Chọn một câu chuyện thú vị với trẻ em và người lớn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. Tóm tắt câu chuyện.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Xây dựng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kịch bản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cho các nhân vật trong câu chuyện.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Xây dựng sự đồng cảm cho các nhân vật trong câu chuyện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Một cố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t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chuyện dẫn đến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một tình huống vấn đề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. Tổng quan về vấn đề.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Làm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rõ các khái niệm và mối quan hệ của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chúng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với câu chuyện và c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ác tình tiết phát triển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kịch bản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Những c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uộc phiêu lưu hoặc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hành trình khởi nguồn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từ cốt truyện (ví dụ: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các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chương)</w:t>
            </w:r>
          </w:p>
          <w:p>
            <w:pPr>
              <w:pStyle w:val="style0"/>
              <w:spacing w:lineRule="exact" w:line="80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</w:tr>
      <w:tr>
        <w:tblPrEx/>
        <w:trPr/>
        <w:tc>
          <w:tcPr>
            <w:tcW w:w="1170" w:type="pct"/>
            <w:tcBorders/>
          </w:tcPr>
          <w:p>
            <w:pPr>
              <w:pStyle w:val="style0"/>
              <w:spacing w:before="80" w:after="80" w:lineRule="exact" w:line="300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Thiết kế không gian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cho hoạt kịch </w:t>
            </w:r>
            <w:r>
              <w:rPr>
                <w:rFonts w:ascii="Arial" w:cs="Arial" w:eastAsia="SimSun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GB"/>
              </w:rPr>
              <w:t>(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>Conceptual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 xml:space="preserve"> 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>PlayWorld space)</w:t>
            </w:r>
          </w:p>
          <w:p>
            <w:pPr>
              <w:pStyle w:val="style0"/>
              <w:spacing w:before="80" w:after="80" w:lineRule="exact" w:line="300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Tìm một không gian trong lớp học / trung tâm / khu vực ngoài trời phù hợp với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hoạt kịch  (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>Conceptual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 xml:space="preserve"> 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 xml:space="preserve">PlayWorld)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tưởng tượng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của câu chuyện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Thiết kế cơ hội cho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những vai </w:t>
            </w:r>
            <w:r>
              <w:rPr>
                <w:rFonts w:cs="Arial" w:hAnsi="Arial"/>
                <w:sz w:val="22"/>
                <w:szCs w:val="22"/>
                <w:lang w:val="en-US"/>
              </w:rPr>
              <w:t>diễn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mà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trẻ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sáng tạo ra,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theo cách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có thể giúp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phát triển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kịch bản hơn nữa,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hoặc khám phá các khái niệm và làm cho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c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h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úng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thêm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ý nghĩa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Thiết kế các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cơ hội khác nhau cho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các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em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trình bày ý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tưởng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và thể hiện sự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am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hiểu của mình</w:t>
            </w: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</w:tr>
      <w:tr>
        <w:tblPrEx/>
        <w:trPr/>
        <w:tc>
          <w:tcPr>
            <w:tcW w:w="1170" w:type="pct"/>
            <w:tcBorders/>
          </w:tcPr>
          <w:p>
            <w:pPr>
              <w:pStyle w:val="style0"/>
              <w:spacing w:before="80" w:after="80" w:lineRule="exact" w:line="300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Nhập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vai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và thoát khỏi</w:t>
            </w:r>
            <w:r>
              <w:rPr>
                <w:rFonts w:cs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không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gian hoạt kịch (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>Conceptual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 xml:space="preserve"> 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>PlayWorld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 xml:space="preserve"> </w:t>
            </w:r>
            <w:r>
              <w:rPr>
                <w:rFonts w:ascii="Arial" w:cs="Arial" w:eastAsia="SimSu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GB"/>
              </w:rPr>
              <w:t>space)</w:t>
            </w:r>
          </w:p>
          <w:p>
            <w:pPr>
              <w:pStyle w:val="style0"/>
              <w:spacing w:before="80" w:after="80" w:lineRule="exact" w:line="300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Lập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lộ trình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cho cả nhóm để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n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hập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vai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và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thoát vai khỏi vở hoạt kịch có cốt chuyện mà trong đó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tất cả các em đều có cùng một tình huống tưởng tượng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Trẻ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được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chọn nhân vật khi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nhập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vào tình h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uống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tưởng tượng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Người lớn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luôn là một nhân vật trong câu chuyện</w:t>
            </w:r>
          </w:p>
          <w:p>
            <w:pPr>
              <w:pStyle w:val="style0"/>
              <w:spacing w:lineRule="exact" w:line="80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</w:tr>
      <w:tr>
        <w:tblPrEx/>
        <w:trPr/>
        <w:tc>
          <w:tcPr>
            <w:tcW w:w="1170" w:type="pct"/>
            <w:tcBorders/>
          </w:tcPr>
          <w:p>
            <w:pPr>
              <w:pStyle w:val="style0"/>
              <w:spacing w:before="80" w:after="80" w:lineRule="exact" w:line="300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Lập kế hoạch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tìm hiểu vở diễn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hoặc kịch bản vấn đề</w:t>
            </w:r>
          </w:p>
          <w:p>
            <w:pPr>
              <w:pStyle w:val="style0"/>
              <w:spacing w:before="80" w:after="80" w:lineRule="exact" w:line="300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Kịch bản vấn đề không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được soạn trước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, nhưng một ý tưởng chung về vấn đề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sẽ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được lên kế hoạch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trước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Kịch bản vấn đề là ấn tượng và hấp dẫn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Trẻ nghiên cứu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các giải pháp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giúp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thực hiện vở diễn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trong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hoạt kịch (Conceptual </w:t>
            </w:r>
            <w:r>
              <w:rPr>
                <w:rFonts w:ascii="Arial" w:cs="Arial" w:hAnsi="Arial"/>
                <w:i/>
                <w:sz w:val="22"/>
                <w:szCs w:val="22"/>
                <w:lang w:val="en-AU"/>
              </w:rPr>
              <w:t>Playworld</w:t>
            </w:r>
            <w:r>
              <w:rPr>
                <w:rFonts w:ascii="Arial" w:cs="Arial" w:hAnsi="Arial"/>
                <w:i/>
                <w:sz w:val="22"/>
                <w:szCs w:val="22"/>
                <w:lang w:val="en-US"/>
              </w:rPr>
              <w:t>)</w:t>
            </w:r>
            <w:r>
              <w:rPr>
                <w:rFonts w:ascii="Arial" w:cs="Arial" w:hAnsi="Arial"/>
                <w:i/>
                <w:sz w:val="22"/>
                <w:szCs w:val="22"/>
                <w:lang w:val="en-AU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Làm rõ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các khái niệm sẽ được học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nhờ việc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giải quyết tình h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uống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vấn đề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.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Các k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hái niệm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là nhằm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phục vụ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vở diễn của trẻ.</w:t>
            </w:r>
          </w:p>
          <w:p>
            <w:pPr>
              <w:pStyle w:val="style0"/>
              <w:spacing w:lineRule="exact" w:line="80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</w:tr>
      <w:tr>
        <w:tblPrEx/>
        <w:trPr/>
        <w:tc>
          <w:tcPr>
            <w:tcW w:w="1170" w:type="pct"/>
            <w:tcBorders/>
          </w:tcPr>
          <w:p>
            <w:pPr>
              <w:pStyle w:val="style0"/>
              <w:spacing w:before="80" w:after="80" w:lineRule="exact" w:line="300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>Lập kế hoạch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để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người lớn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t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ương tá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c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nhằm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xây dựng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việc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học khái niệm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khi nhập vai</w:t>
            </w: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Người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lớn k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hông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nhất thiết đóng vai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cùng một nhân vật. Vai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diễn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không được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soạn sẵn</w:t>
            </w:r>
          </w:p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Lập kế hoạch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ai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sẽ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là người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có nhiều kiến thức và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ai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sẽ có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tham gia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với trẻ để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làm mẫu việc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giải quyết vấn đề.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Người lớn có thể đảm nhận các vai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khác nhau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: - Cùng tham gia hoạt kịch ngang hàng với trẻ, hoặc: - Làm mẫu cho trẻ, hoặc: - Đóng vai cần được trẻ giúp đỡ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. Vai trò của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người lớn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cũng có thể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 là </w:t>
            </w:r>
            <w:r>
              <w:rPr>
                <w:rFonts w:ascii="Arial" w:cs="Arial" w:hAnsi="Arial"/>
                <w:b/>
                <w:bCs/>
                <w:sz w:val="22"/>
                <w:szCs w:val="22"/>
                <w:lang w:val="en-AU"/>
              </w:rPr>
              <w:t xml:space="preserve">cùng </w:t>
            </w:r>
            <w:r>
              <w:rPr>
                <w:rFonts w:ascii="Arial" w:cs="Arial" w:hAnsi="Arial"/>
                <w:b/>
                <w:bCs/>
                <w:sz w:val="22"/>
                <w:szCs w:val="22"/>
                <w:lang w:val="en-US"/>
              </w:rPr>
              <w:t xml:space="preserve">nhau dẫn dắt trẻ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(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primordial we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),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trong đó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>n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gười lớn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thực sự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dìu dắt các em,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 hoặc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nắm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tay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 xml:space="preserve">trẻ </w:t>
            </w:r>
            <w:r>
              <w:rPr>
                <w:rFonts w:ascii="Arial" w:cs="Arial" w:hAnsi="Arial"/>
                <w:sz w:val="22"/>
                <w:szCs w:val="22"/>
                <w:lang w:val="en-AU"/>
              </w:rPr>
              <w:t xml:space="preserve">và cùng nhau diễn xuất hoặc giải 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quyết vấn đề</w:t>
            </w:r>
          </w:p>
        </w:tc>
        <w:tc>
          <w:tcPr>
            <w:tcW w:w="1915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spacing w:before="80" w:after="80" w:lineRule="exact" w:line="300"/>
              <w:ind w:left="564" w:hanging="564"/>
              <w:contextualSpacing w:val="false"/>
              <w:rPr>
                <w:rFonts w:ascii="Arial" w:cs="Arial" w:hAnsi="Arial"/>
                <w:sz w:val="22"/>
                <w:szCs w:val="22"/>
                <w:lang w:val="en-AU"/>
              </w:rPr>
            </w:pPr>
          </w:p>
        </w:tc>
      </w:tr>
    </w:tbl>
    <w:p>
      <w:pPr>
        <w:pStyle w:val="style0"/>
        <w:rPr/>
      </w:pPr>
      <w:r>
        <w:rPr>
          <w:b/>
        </w:rPr>
        <w:t>Lời cảm ơn:</w:t>
      </w:r>
      <w:r>
        <w:rPr>
          <w:b/>
          <w:lang w:val="en-US"/>
        </w:rPr>
        <w:t xml:space="preserve"> Cảm ơn Ban học bổng của </w:t>
      </w:r>
      <w:r>
        <w:t>Hội đồng Nghiên cứu Úc</w:t>
      </w:r>
      <w:r>
        <w:rPr>
          <w:lang w:val="en-US"/>
        </w:rPr>
        <w:t xml:space="preserve"> </w:t>
      </w:r>
      <w:r>
        <w:t>(số 180100161</w:t>
      </w:r>
      <w:r>
        <w:t>)</w:t>
      </w:r>
      <w:r>
        <w:rPr>
          <w:lang w:val="en-US"/>
        </w:rPr>
        <w:t xml:space="preserve"> đã</w:t>
      </w:r>
      <w:r>
        <w:t xml:space="preserve"> </w:t>
      </w:r>
      <w:r>
        <w:rPr>
          <w:lang w:val="en-US"/>
        </w:rPr>
        <w:t>t</w:t>
      </w:r>
      <w:r>
        <w:t xml:space="preserve">ài trợ </w:t>
      </w:r>
      <w:r>
        <w:rPr>
          <w:lang w:val="en-US"/>
        </w:rPr>
        <w:t xml:space="preserve">cho </w:t>
      </w:r>
      <w:r>
        <w:t>sự phát triển</w:t>
      </w:r>
      <w:bookmarkStart w:id="0" w:name="_GoBack"/>
      <w:bookmarkEnd w:id="0"/>
      <w:r>
        <w:t xml:space="preserve"> của </w:t>
      </w:r>
      <w:r>
        <w:rPr>
          <w:lang w:val="en-US"/>
        </w:rPr>
        <w:t>tài liệu</w:t>
      </w:r>
      <w:r>
        <w:t xml:space="preserve"> giáo dục</w:t>
      </w:r>
      <w:r>
        <w:rPr>
          <w:lang w:val="en-US"/>
        </w:rPr>
        <w:t xml:space="preserve"> </w:t>
      </w:r>
      <w:r>
        <w:t>và nghiên cứu</w:t>
      </w:r>
      <w:r>
        <w:rPr>
          <w:lang w:val="en-US"/>
        </w:rPr>
        <w:t xml:space="preserve"> mở</w:t>
      </w:r>
      <w:r>
        <w:t>:</w:t>
      </w:r>
      <w:r>
        <w:rPr>
          <w:lang w:val="en-US"/>
        </w:rPr>
        <w:t xml:space="preserve"> </w:t>
      </w:r>
      <w:r>
        <w:rPr>
          <w:rFonts w:ascii="Arial" w:cs="Arial" w:hAnsi="Arial"/>
          <w:sz w:val="22"/>
          <w:szCs w:val="22"/>
        </w:rPr>
        <w:t>Fleer, M. (2022</w:t>
      </w:r>
      <w:r>
        <w:rPr>
          <w:rFonts w:ascii="Arial" w:cs="Arial" w:hAnsi="Arial"/>
          <w:sz w:val="22"/>
          <w:szCs w:val="22"/>
        </w:rPr>
        <w:t>).</w:t>
      </w:r>
      <w:r>
        <w:rPr>
          <w:rFonts w:ascii="Arial" w:cs="Arial" w:hAnsi="Arial"/>
          <w:sz w:val="22"/>
          <w:szCs w:val="22"/>
          <w:lang w:val="en-US"/>
        </w:rPr>
        <w:t xml:space="preserve"> Hoạt kịch </w:t>
      </w:r>
      <w:r>
        <w:rPr>
          <w:rFonts w:ascii="Arial" w:cs="Arial" w:hAnsi="Arial"/>
          <w:sz w:val="22"/>
          <w:szCs w:val="22"/>
          <w:lang w:val="en-AU"/>
        </w:rPr>
        <w:t>:</w:t>
      </w:r>
      <w:r>
        <w:rPr>
          <w:rFonts w:ascii="Arial" w:cs="Arial" w:hAnsi="Arial"/>
          <w:sz w:val="22"/>
          <w:szCs w:val="22"/>
          <w:lang w:val="en-US"/>
        </w:rPr>
        <w:t xml:space="preserve"> Tài liệu</w:t>
      </w:r>
      <w:r>
        <w:rPr>
          <w:rFonts w:ascii="Arial" w:cs="Arial" w:hAnsi="Arial"/>
          <w:sz w:val="22"/>
          <w:szCs w:val="22"/>
          <w:lang w:val="en-AU"/>
        </w:rPr>
        <w:t xml:space="preserve"> của Đại học Monash</w:t>
      </w:r>
      <w:r>
        <w:rPr>
          <w:lang w:val="en-AU"/>
        </w:rPr>
        <w:t>:</w:t>
      </w:r>
      <w:r>
        <w:rPr/>
        <w:fldChar w:fldCharType="begin"/>
      </w:r>
      <w:r>
        <w:instrText xml:space="preserve"> HYPERLINK "https://www.monash.edu/education/research/projects/conceptual-playlab/publications" </w:instrText>
      </w:r>
      <w:r>
        <w:rPr/>
        <w:fldChar w:fldCharType="separate"/>
      </w:r>
      <w:r>
        <w:rPr>
          <w:rStyle w:val="style85"/>
        </w:rPr>
        <w:t>https://www.monash.edu/education/research/projects/conceptual-playlab/publications</w:t>
      </w:r>
      <w:r>
        <w:rPr/>
        <w:fldChar w:fldCharType="end"/>
      </w:r>
    </w:p>
    <w:sectPr>
      <w:headerReference w:type="default" r:id="rId2"/>
      <w:pgSz w:w="11900" w:h="16840" w:orient="portrait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DengXian Light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  <w:tbl>
    <w:tblPr>
      <w:tblStyle w:val="style154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14"/>
      <w:gridCol w:w="4446"/>
    </w:tblGrid>
    <w:tr>
      <w:trPr/>
      <w:tc>
        <w:tcPr>
          <w:tcW w:w="2875" w:type="pct"/>
          <w:tcBorders/>
        </w:tcPr>
        <w:p>
          <w:pPr>
            <w:pStyle w:val="style31"/>
            <w:rPr/>
          </w:pPr>
          <w:r>
            <w:rPr>
              <w:noProof/>
              <w:lang w:val="en-AU" w:eastAsia="zh-CN"/>
            </w:rPr>
            <w:drawing>
              <wp:inline distL="0" distT="0" distB="0" distR="0">
                <wp:extent cx="3486150" cy="474159"/>
                <wp:effectExtent l="0" t="0" r="0" b="2540"/>
                <wp:docPr id="4097" name="Picture 3" descr="S:\EDUC\Engagement-Network\PROJECTS\Resources\Templates\Logos\2016-Monash-Logo-1-Line.png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3486150" cy="474159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pct"/>
          <w:tcBorders/>
        </w:tcPr>
        <w:p>
          <w:pPr>
            <w:pStyle w:val="style31"/>
            <w:jc w:val="right"/>
            <w:rPr/>
          </w:pPr>
          <w:r>
            <w:rPr>
              <w:noProof/>
              <w:lang w:val="en-AU" w:eastAsia="zh-CN"/>
            </w:rPr>
            <w:drawing>
              <wp:inline distL="0" distT="0" distB="0" distR="0">
                <wp:extent cx="1356995" cy="487063"/>
                <wp:effectExtent l="0" t="0" r="0" b="8255"/>
                <wp:docPr id="4098" name="Picture 2" descr="S:\EDUC\Engagement-Network\PROJECTS\Resources\Templates\Logos\Groupof8.png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/>
                      </pic:nvPicPr>
                      <pic:blipFill>
                        <a:blip r:embed="rId2" cstate="print"/>
                        <a:srcRect l="0" t="14479" r="0" b="9250"/>
                        <a:stretch/>
                      </pic:blipFill>
                      <pic:spPr>
                        <a:xfrm rot="0">
                          <a:off x="0" y="0"/>
                          <a:ext cx="1356995" cy="487063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2002FA"/>
    <w:lvl w:ilvl="0" w:tplc="7D8E1D6C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0ECC02FA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7272F464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21A2BF6C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0B0ACCAA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11043C7E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20666878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241CC2BE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87066290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000001"/>
    <w:multiLevelType w:val="hybridMultilevel"/>
    <w:tmpl w:val="A858CA74"/>
    <w:lvl w:ilvl="0" w:tplc="8F5C3156">
      <w:start w:val="1"/>
      <w:numFmt w:val="bullet"/>
      <w:lvlText w:val=""/>
      <w:lvlJc w:val="left"/>
      <w:pPr>
        <w:ind w:left="360" w:hanging="360"/>
      </w:pPr>
      <w:rPr>
        <w:rFonts w:ascii="Wingdings" w:cs="Wingdings" w:hAnsi="Wingdings" w:hint="default"/>
        <w:color w:val="4472c4"/>
        <w:sz w:val="3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33C8E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88A0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8FF8B59C"/>
    <w:lvl w:ilvl="0" w:tplc="08E0FB88">
      <w:start w:val="1"/>
      <w:numFmt w:val="bullet"/>
      <w:lvlText w:val=""/>
      <w:lvlJc w:val="left"/>
      <w:pPr>
        <w:ind w:left="360" w:hanging="360"/>
      </w:pPr>
      <w:rPr>
        <w:rFonts w:ascii="Wingdings" w:cs="Wingdings" w:hAnsi="Wingdings" w:hint="default"/>
        <w:color w:val="4472c4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A2C27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5600BF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2D2A00FA"/>
    <w:lvl w:ilvl="0" w:tplc="259664AE">
      <w:start w:val="1"/>
      <w:numFmt w:val="bullet"/>
      <w:lvlText w:val=""/>
      <w:lvlJc w:val="left"/>
      <w:pPr>
        <w:ind w:left="360" w:hanging="360"/>
      </w:pPr>
      <w:rPr>
        <w:rFonts w:ascii="Wingdings" w:cs="Wingdings" w:hAnsi="Wingdings" w:hint="default"/>
        <w:color w:val="8080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5C408E04"/>
    <w:lvl w:ilvl="0" w:tplc="1C1A83C6">
      <w:start w:val="1"/>
      <w:numFmt w:val="bullet"/>
      <w:lvlText w:val=""/>
      <w:lvlJc w:val="left"/>
      <w:pPr>
        <w:ind w:left="360" w:hanging="360"/>
      </w:pPr>
      <w:rPr>
        <w:rFonts w:ascii="Wingdings" w:cs="Wingdings" w:hAnsi="Wingdings" w:hint="default"/>
        <w:color w:val="7f7f7f"/>
        <w:sz w:val="4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A172F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4"/>
        <w:szCs w:val="24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SimSun" w:hAnsi="Times New Roman"/>
      <w:lang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Arial" w:hAnsi="Calibri"/>
      <w:lang w:eastAsia="en-US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7">
    <w:name w:val="Header Char_1d0ba5b3-6976-429c-9ea1-3c0151bcca45"/>
    <w:basedOn w:val="style65"/>
    <w:next w:val="style4097"/>
    <w:link w:val="style31"/>
    <w:uiPriority w:val="99"/>
    <w:rPr>
      <w:rFonts w:ascii="Times New Roman" w:cs="Times New Roman" w:eastAsia="SimSun" w:hAnsi="Times New Roman"/>
      <w:lang w:eastAsia="en-GB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Footer Char_ac78995f-fa03-48cb-a1a6-11c11baf1ed9"/>
    <w:basedOn w:val="style65"/>
    <w:next w:val="style4098"/>
    <w:link w:val="style32"/>
    <w:uiPriority w:val="99"/>
    <w:rPr>
      <w:rFonts w:ascii="Times New Roman" w:cs="Times New Roman" w:eastAsia="SimSun" w:hAnsi="Times New Roman"/>
      <w:lang w:eastAsia="en-GB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Words>597</Words>
  <Pages>2</Pages>
  <Characters>2312</Characters>
  <Application>WPS Office</Application>
  <DocSecurity>0</DocSecurity>
  <Paragraphs>58</Paragraphs>
  <ScaleCrop>false</ScaleCrop>
  <Company>Monash University</Company>
  <LinksUpToDate>false</LinksUpToDate>
  <CharactersWithSpaces>2881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2023-08-20T01:21:01Z</dcterms:created>
  <dc:creator>Microsoft Office User</dc:creator>
  <lastModifiedBy>2201116TG</lastModifiedBy>
  <lastPrinted>2022-02-04T01:32:00Z</lastPrinted>
  <dcterms:modified xsi:type="dcterms:W3CDTF">2023-08-20T02:45:28Z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b7678fd60b0d48cbb65167b05baa761c</vt:lpwstr>
  </property>
</Properties>
</file>